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43972B" w14:textId="0BE25333" w:rsidR="00A27829" w:rsidRPr="00103D4E" w:rsidRDefault="00954D68" w:rsidP="00A27829">
      <w:pPr>
        <w:pStyle w:val="Head"/>
        <w:rPr>
          <w:lang w:val="en-US"/>
        </w:rPr>
      </w:pPr>
      <w:r>
        <w:rPr>
          <w:lang w:val="es-ES"/>
        </w:rPr>
        <w:t xml:space="preserve">La digitalización y la sostenibilidad protagonizaron los Wirtgen Group </w:t>
      </w:r>
      <w:proofErr w:type="spellStart"/>
      <w:r>
        <w:rPr>
          <w:lang w:val="es-ES"/>
        </w:rPr>
        <w:t>Technology</w:t>
      </w:r>
      <w:proofErr w:type="spellEnd"/>
      <w:r>
        <w:rPr>
          <w:lang w:val="es-ES"/>
        </w:rPr>
        <w:t xml:space="preserve"> </w:t>
      </w:r>
      <w:proofErr w:type="spellStart"/>
      <w:r>
        <w:rPr>
          <w:lang w:val="es-ES"/>
        </w:rPr>
        <w:t>Days</w:t>
      </w:r>
      <w:proofErr w:type="spellEnd"/>
      <w:r>
        <w:rPr>
          <w:lang w:val="es-ES"/>
        </w:rPr>
        <w:t xml:space="preserve"> 2024 </w:t>
      </w:r>
    </w:p>
    <w:p w14:paraId="26F0996C" w14:textId="4F827E27" w:rsidR="00A46F1E" w:rsidRPr="00103D4E" w:rsidRDefault="00954D68" w:rsidP="00881E44">
      <w:pPr>
        <w:pStyle w:val="Subhead"/>
        <w:rPr>
          <w:lang w:val="en-US"/>
        </w:rPr>
      </w:pPr>
      <w:r>
        <w:rPr>
          <w:bCs/>
          <w:iCs w:val="0"/>
          <w:lang w:val="es-ES"/>
        </w:rPr>
        <w:t xml:space="preserve">Encuentro sectorial internacional con Kleemann como anfitriona </w:t>
      </w:r>
    </w:p>
    <w:p w14:paraId="193790FB" w14:textId="2646A736" w:rsidR="00A46F1E" w:rsidRPr="00103D4E" w:rsidRDefault="00954D68" w:rsidP="00881E44">
      <w:pPr>
        <w:pStyle w:val="Teaser"/>
        <w:rPr>
          <w:lang w:val="en-US"/>
        </w:rPr>
      </w:pPr>
      <w:r>
        <w:rPr>
          <w:bCs/>
          <w:lang w:val="es-ES"/>
        </w:rPr>
        <w:t xml:space="preserve">2700 invitados de más de 100 países se dieron cita en </w:t>
      </w:r>
      <w:proofErr w:type="spellStart"/>
      <w:r>
        <w:rPr>
          <w:bCs/>
          <w:lang w:val="es-ES"/>
        </w:rPr>
        <w:t>Göppingen</w:t>
      </w:r>
      <w:proofErr w:type="spellEnd"/>
      <w:r>
        <w:rPr>
          <w:bCs/>
          <w:lang w:val="es-ES"/>
        </w:rPr>
        <w:t xml:space="preserve"> con motivo de los Wirtgen Group </w:t>
      </w:r>
      <w:proofErr w:type="spellStart"/>
      <w:r>
        <w:rPr>
          <w:bCs/>
          <w:lang w:val="es-ES"/>
        </w:rPr>
        <w:t>Technology</w:t>
      </w:r>
      <w:proofErr w:type="spellEnd"/>
      <w:r>
        <w:rPr>
          <w:bCs/>
          <w:lang w:val="es-ES"/>
        </w:rPr>
        <w:t xml:space="preserve"> </w:t>
      </w:r>
      <w:proofErr w:type="spellStart"/>
      <w:r>
        <w:rPr>
          <w:bCs/>
          <w:lang w:val="es-ES"/>
        </w:rPr>
        <w:t>Days</w:t>
      </w:r>
      <w:proofErr w:type="spellEnd"/>
      <w:r>
        <w:rPr>
          <w:bCs/>
          <w:lang w:val="es-ES"/>
        </w:rPr>
        <w:t xml:space="preserve"> 2024. El evento, de dos días de duración, se celebró en la planta principal de Kleemann GmbH y giró en torno a la digitalización y la sostenibilidad. Bajo el lema «</w:t>
      </w:r>
      <w:proofErr w:type="spellStart"/>
      <w:r>
        <w:rPr>
          <w:bCs/>
          <w:lang w:val="es-ES"/>
        </w:rPr>
        <w:t>Smarter</w:t>
      </w:r>
      <w:proofErr w:type="spellEnd"/>
      <w:r>
        <w:rPr>
          <w:bCs/>
          <w:lang w:val="es-ES"/>
        </w:rPr>
        <w:t xml:space="preserve">. </w:t>
      </w:r>
      <w:proofErr w:type="spellStart"/>
      <w:r>
        <w:rPr>
          <w:bCs/>
          <w:lang w:val="es-ES"/>
        </w:rPr>
        <w:t>Safer</w:t>
      </w:r>
      <w:proofErr w:type="spellEnd"/>
      <w:r>
        <w:rPr>
          <w:bCs/>
          <w:lang w:val="es-ES"/>
        </w:rPr>
        <w:t xml:space="preserve">. More </w:t>
      </w:r>
      <w:proofErr w:type="spellStart"/>
      <w:r>
        <w:rPr>
          <w:bCs/>
          <w:lang w:val="es-ES"/>
        </w:rPr>
        <w:t>Sustainable</w:t>
      </w:r>
      <w:proofErr w:type="spellEnd"/>
      <w:r>
        <w:rPr>
          <w:bCs/>
          <w:lang w:val="es-ES"/>
        </w:rPr>
        <w:t xml:space="preserve">.», el grupo empresarial expuso máquinas y tecnologías que permiten realizar con éxito proyectos de construcción. </w:t>
      </w:r>
    </w:p>
    <w:p w14:paraId="5941A861" w14:textId="193F55F3" w:rsidR="000B582B" w:rsidRPr="00103D4E" w:rsidRDefault="00954D68" w:rsidP="00282AFC">
      <w:pPr>
        <w:pStyle w:val="Standardabsatz"/>
        <w:rPr>
          <w:lang w:val="en-US"/>
        </w:rPr>
      </w:pPr>
      <w:r>
        <w:rPr>
          <w:lang w:val="es-ES"/>
        </w:rPr>
        <w:t xml:space="preserve">Numerosos sistemas y soluciones innovadores, entre ellos once estrenos mundiales, y una visión clara de la construcción de carreteras del futuro: así entusiasmó Wirtgen Group al mundillo en el encuentro sectorial internacional y demostró que los nuevos desarrollos están orientados hacia los retos de nuestro tiempo. «Llevamos la innovación en nuestro ADN. Sabemos por el </w:t>
      </w:r>
      <w:proofErr w:type="spellStart"/>
      <w:r>
        <w:rPr>
          <w:lang w:val="es-ES"/>
        </w:rPr>
        <w:t>feedback</w:t>
      </w:r>
      <w:proofErr w:type="spellEnd"/>
      <w:r>
        <w:rPr>
          <w:lang w:val="es-ES"/>
        </w:rPr>
        <w:t xml:space="preserve"> de nuestros clientes que los mercados necesitan cada vez más soluciones inteligentes, seguras y sostenibles. Nos hemos concentrado en ello y presentamos tecnologías de maquinaria y soluciones digitales de última generación con las que apoyamos a nuestros clientes en su transformación digital. En este sentido, concedemos un gran valor a unas soluciones integrales para sus proyectos de construcción, desde la planificación hasta la documentación y el análisis», explica Volker Knickel, CEO Wirtgen Group. El lema «</w:t>
      </w:r>
      <w:proofErr w:type="spellStart"/>
      <w:r>
        <w:rPr>
          <w:lang w:val="es-ES"/>
        </w:rPr>
        <w:t>Smarter</w:t>
      </w:r>
      <w:proofErr w:type="spellEnd"/>
      <w:r>
        <w:rPr>
          <w:lang w:val="es-ES"/>
        </w:rPr>
        <w:t xml:space="preserve">. </w:t>
      </w:r>
      <w:proofErr w:type="spellStart"/>
      <w:r>
        <w:rPr>
          <w:lang w:val="es-ES"/>
        </w:rPr>
        <w:t>Safer</w:t>
      </w:r>
      <w:proofErr w:type="spellEnd"/>
      <w:r>
        <w:rPr>
          <w:lang w:val="es-ES"/>
        </w:rPr>
        <w:t xml:space="preserve">. More </w:t>
      </w:r>
      <w:proofErr w:type="spellStart"/>
      <w:r>
        <w:rPr>
          <w:lang w:val="es-ES"/>
        </w:rPr>
        <w:t>Sustainable</w:t>
      </w:r>
      <w:proofErr w:type="spellEnd"/>
      <w:r>
        <w:rPr>
          <w:lang w:val="es-ES"/>
        </w:rPr>
        <w:t xml:space="preserve">.» describe este enfoque en pocas palabras. </w:t>
      </w:r>
    </w:p>
    <w:p w14:paraId="69F49D88" w14:textId="6C0E6A03" w:rsidR="00BD25D1" w:rsidRPr="00103D4E" w:rsidRDefault="00954D68" w:rsidP="00754B80">
      <w:pPr>
        <w:pStyle w:val="Absatzberschrift"/>
        <w:rPr>
          <w:lang w:val="en-US"/>
        </w:rPr>
      </w:pPr>
      <w:r>
        <w:rPr>
          <w:bCs/>
          <w:lang w:val="es-ES"/>
        </w:rPr>
        <w:t xml:space="preserve">Exposición de maquinaria con once estrenos mundiales </w:t>
      </w:r>
    </w:p>
    <w:p w14:paraId="587D8891" w14:textId="2A4AFD8C" w:rsidR="00954D68" w:rsidRPr="00103D4E" w:rsidRDefault="00954D68" w:rsidP="00954D68">
      <w:pPr>
        <w:pStyle w:val="Standardabsatz"/>
        <w:rPr>
          <w:lang w:val="en-US"/>
        </w:rPr>
      </w:pPr>
      <w:r>
        <w:rPr>
          <w:lang w:val="es-ES"/>
        </w:rPr>
        <w:t xml:space="preserve">Con los casi 70 productos de exposición para diversos escenarios de aplicación, Wirtgen, </w:t>
      </w:r>
      <w:proofErr w:type="spellStart"/>
      <w:r>
        <w:rPr>
          <w:lang w:val="es-ES"/>
        </w:rPr>
        <w:t>Vögele</w:t>
      </w:r>
      <w:proofErr w:type="spellEnd"/>
      <w:r>
        <w:rPr>
          <w:lang w:val="es-ES"/>
        </w:rPr>
        <w:t xml:space="preserve">, </w:t>
      </w:r>
      <w:proofErr w:type="spellStart"/>
      <w:r>
        <w:rPr>
          <w:lang w:val="es-ES"/>
        </w:rPr>
        <w:t>Hamm</w:t>
      </w:r>
      <w:proofErr w:type="spellEnd"/>
      <w:r>
        <w:rPr>
          <w:lang w:val="es-ES"/>
        </w:rPr>
        <w:t xml:space="preserve">, Kleemann, </w:t>
      </w:r>
      <w:proofErr w:type="spellStart"/>
      <w:r>
        <w:rPr>
          <w:lang w:val="es-ES"/>
        </w:rPr>
        <w:t>Benninghoven</w:t>
      </w:r>
      <w:proofErr w:type="spellEnd"/>
      <w:r>
        <w:rPr>
          <w:lang w:val="es-ES"/>
        </w:rPr>
        <w:t>, Ciber y John Deere mostraron qué soluciones concretas van a aportar al sector en el camino hacia un mayor nivel de digitalización y automatización en la construcción de carreteras y el tratamiento de materiales</w:t>
      </w:r>
    </w:p>
    <w:p w14:paraId="3C2C7CC2" w14:textId="142CDE85" w:rsidR="00954D68" w:rsidRPr="00103D4E" w:rsidRDefault="00954D68" w:rsidP="00954D68">
      <w:pPr>
        <w:pStyle w:val="Standardabsatz"/>
        <w:rPr>
          <w:lang w:val="es-ES"/>
        </w:rPr>
      </w:pPr>
      <w:r>
        <w:rPr>
          <w:lang w:val="es-ES"/>
        </w:rPr>
        <w:t xml:space="preserve">Los estrenos mundiales despertaron un particular interés. Entre ellos estuvo la extendedora SUPER 1800-5i de </w:t>
      </w:r>
      <w:proofErr w:type="spellStart"/>
      <w:r>
        <w:rPr>
          <w:lang w:val="es-ES"/>
        </w:rPr>
        <w:t>Vögele</w:t>
      </w:r>
      <w:proofErr w:type="spellEnd"/>
      <w:r>
        <w:rPr>
          <w:lang w:val="es-ES"/>
        </w:rPr>
        <w:t xml:space="preserve">, de la generación «Guion 5», que destaca por funciones automáticas inteligentes, más confort y un accionamiento optimizado. </w:t>
      </w:r>
      <w:proofErr w:type="spellStart"/>
      <w:r>
        <w:rPr>
          <w:lang w:val="es-ES"/>
        </w:rPr>
        <w:t>Hamm</w:t>
      </w:r>
      <w:proofErr w:type="spellEnd"/>
      <w:r>
        <w:rPr>
          <w:lang w:val="es-ES"/>
        </w:rPr>
        <w:t xml:space="preserve"> presentó en total cuatro novedades, entre ellas un compactador de la serie HC con novedoso tambor de ajuste VA. Con el asistente de compactación Smart Compact, los compactadores VA permiten una compactación automática hasta el valor objetivo. La Rock </w:t>
      </w:r>
      <w:proofErr w:type="spellStart"/>
      <w:r>
        <w:rPr>
          <w:lang w:val="es-ES"/>
        </w:rPr>
        <w:t>Crusher</w:t>
      </w:r>
      <w:proofErr w:type="spellEnd"/>
      <w:r>
        <w:rPr>
          <w:lang w:val="es-ES"/>
        </w:rPr>
        <w:t xml:space="preserve"> WRC 240i, que amplía la cartera de estabilizadoras de suelo móviles sobre ruedas de Wirtgen, demostró con su sistema </w:t>
      </w:r>
      <w:proofErr w:type="spellStart"/>
      <w:r>
        <w:rPr>
          <w:lang w:val="es-ES"/>
        </w:rPr>
        <w:t>AutoTrac</w:t>
      </w:r>
      <w:proofErr w:type="spellEnd"/>
      <w:r>
        <w:rPr>
          <w:lang w:val="es-ES"/>
        </w:rPr>
        <w:t xml:space="preserve"> basado en satélite cómo se puede realizar más rápido y con menos material el tratamiento de los suelos en la construcción de carreteras y caminos. </w:t>
      </w:r>
    </w:p>
    <w:p w14:paraId="49494B03" w14:textId="3281122E" w:rsidR="00BD25D1" w:rsidRPr="00103D4E" w:rsidRDefault="00954D68" w:rsidP="00954D68">
      <w:pPr>
        <w:pStyle w:val="Standardabsatz"/>
        <w:rPr>
          <w:lang w:val="en-US"/>
        </w:rPr>
      </w:pPr>
      <w:r>
        <w:rPr>
          <w:lang w:val="es-ES"/>
        </w:rPr>
        <w:t>En el ámbito del tratamiento de materiales, la anfitriona Kleemann presentó con la MSS 502i EVO una nueva criba de piezas bastas que puede funcionar también de forma totalmente eléctrica. La mayor palanca para reducir las emisiones de CO</w:t>
      </w:r>
      <w:r>
        <w:rPr>
          <w:vertAlign w:val="subscript"/>
          <w:lang w:val="es-ES"/>
        </w:rPr>
        <w:t>2</w:t>
      </w:r>
      <w:r>
        <w:rPr>
          <w:lang w:val="es-ES"/>
        </w:rPr>
        <w:t xml:space="preserve"> radica en la </w:t>
      </w:r>
      <w:r>
        <w:rPr>
          <w:lang w:val="es-ES"/>
        </w:rPr>
        <w:lastRenderedPageBreak/>
        <w:t xml:space="preserve">producción de asfalto. En este ámbito, el grupo empresarial presentó por primera vez la nueva generación de quemadores de </w:t>
      </w:r>
      <w:proofErr w:type="spellStart"/>
      <w:r>
        <w:rPr>
          <w:lang w:val="es-ES"/>
        </w:rPr>
        <w:t>Benninghoven</w:t>
      </w:r>
      <w:proofErr w:type="spellEnd"/>
      <w:r>
        <w:rPr>
          <w:lang w:val="es-ES"/>
        </w:rPr>
        <w:t xml:space="preserve"> que permite usar simultáneamente hasta cuatro combustibles distintos. Así, el equipo de mezcla de asfalto se puede usar de forma flexible con la fuente de energía adecuada y, por ejemplo, por primera vez también al 100 % con hidrógeno verde. </w:t>
      </w:r>
    </w:p>
    <w:p w14:paraId="6F696BAE" w14:textId="7D10F57A" w:rsidR="006D6CC6" w:rsidRPr="00103D4E" w:rsidRDefault="00954D68" w:rsidP="006D6CC6">
      <w:pPr>
        <w:pStyle w:val="Absatzberschrift"/>
        <w:rPr>
          <w:lang w:val="en-US"/>
        </w:rPr>
      </w:pPr>
      <w:r>
        <w:rPr>
          <w:bCs/>
          <w:lang w:val="es-ES"/>
        </w:rPr>
        <w:t xml:space="preserve">Expertos del sector ofrecen ponencias sobre tecnologías de futuro </w:t>
      </w:r>
    </w:p>
    <w:p w14:paraId="09984A5C" w14:textId="34FB1D95" w:rsidR="00954D68" w:rsidRPr="00103D4E" w:rsidRDefault="005B6DAE" w:rsidP="00954D68">
      <w:pPr>
        <w:pStyle w:val="Standardabsatz"/>
        <w:rPr>
          <w:lang w:val="en-US"/>
        </w:rPr>
      </w:pPr>
      <w:r>
        <w:rPr>
          <w:lang w:val="es-ES"/>
        </w:rPr>
        <w:t>Especialistas de Wirtgen Group y expertos de prestigio internacional ofrecieron de primera mano una perspectiva de las tecnologías del futuro. En el bloque de ponencias sobre la temática de la sostenibilidad, compartieron sus conocimientos y su experiencia sobre diversos aspectos, como el camino hacia un sector de la construcción sostenible, los potenciales de ahorro de CO</w:t>
      </w:r>
      <w:r>
        <w:rPr>
          <w:vertAlign w:val="subscript"/>
          <w:lang w:val="es-ES"/>
        </w:rPr>
        <w:t>2</w:t>
      </w:r>
      <w:r>
        <w:rPr>
          <w:lang w:val="es-ES"/>
        </w:rPr>
        <w:t xml:space="preserve"> que ofrecen el reciclaje en frío y el reciclaje de asfalto caliente o las soluciones de accionamiento totalmente eléctricas de las nuevas instalaciones de trituración y cribado.</w:t>
      </w:r>
    </w:p>
    <w:p w14:paraId="63573E15" w14:textId="57202995" w:rsidR="00CB5C85" w:rsidRPr="00103D4E" w:rsidRDefault="00954D68" w:rsidP="00954D68">
      <w:pPr>
        <w:pStyle w:val="Standardabsatz"/>
        <w:rPr>
          <w:lang w:val="en-US"/>
        </w:rPr>
      </w:pPr>
      <w:r>
        <w:rPr>
          <w:lang w:val="es-ES"/>
        </w:rPr>
        <w:t xml:space="preserve">En el complejo temático dedicado a la digitalización, especialistas de Wirtgen Group expusieron cómo la empresa puede ayudar a sus clientes en el curso de la transformación digital. En este sentido, el </w:t>
      </w:r>
      <w:proofErr w:type="spellStart"/>
      <w:r>
        <w:rPr>
          <w:lang w:val="es-ES"/>
        </w:rPr>
        <w:t>Operations</w:t>
      </w:r>
      <w:proofErr w:type="spellEnd"/>
      <w:r>
        <w:rPr>
          <w:lang w:val="es-ES"/>
        </w:rPr>
        <w:t xml:space="preserve"> Center de John Deere es para las máquinas de construcción la plataforma centralizada con soluciones digitales para la gestión de obras completas, disponible en todo momento y lugar y que abarca la planificación, la monitorización, el análisis y el mantenimiento. Así, el </w:t>
      </w:r>
      <w:proofErr w:type="spellStart"/>
      <w:r>
        <w:rPr>
          <w:lang w:val="es-ES"/>
        </w:rPr>
        <w:t>Operations</w:t>
      </w:r>
      <w:proofErr w:type="spellEnd"/>
      <w:r>
        <w:rPr>
          <w:lang w:val="es-ES"/>
        </w:rPr>
        <w:t xml:space="preserve"> Center se convierte en la interfaz que conecta los operarios y las máquinas en la obra con la oficina de los jefes de obra y encargados, además del director del taller. </w:t>
      </w:r>
    </w:p>
    <w:p w14:paraId="11A0B5C1" w14:textId="120C92FC" w:rsidR="00954D68" w:rsidRPr="00103D4E" w:rsidRDefault="00E743EC" w:rsidP="00954D68">
      <w:pPr>
        <w:pStyle w:val="Standardabsatz"/>
        <w:rPr>
          <w:lang w:val="en-US"/>
        </w:rPr>
      </w:pPr>
      <w:r>
        <w:rPr>
          <w:lang w:val="es-ES"/>
        </w:rPr>
        <w:t xml:space="preserve">¿Pero qué significa esto concretamente en la práctica? Por ejemplo, los clientes se benefician de un alto nivel de seguridad del proceso gracias a la posibilidad de planificar la disponibilidad de las máquinas. Gracias a una información completa y disponible de inmediato, los responsables del proyecto y los operarios de las máquinas pueden tomar decisiones óptimas. El mayor nivel de automatización de los procesos y el uso de sistemas de asistencia en las máquinas no solo aumenta la productividad, ya que el operario se puede concentrar al 100 % en el progreso de la obra, sino que también se traduce en un uso eficiente de los recursos humanos.  La precisión y, por tanto, la calidad de los trabajos también se incrementa, lo que permite evitar retrabajos y ahorrar costes de material y mano de obra. </w:t>
      </w:r>
    </w:p>
    <w:p w14:paraId="4DE781AF" w14:textId="252BDCCE" w:rsidR="006D6CC6" w:rsidRPr="00103D4E" w:rsidRDefault="00954D68" w:rsidP="00954D68">
      <w:pPr>
        <w:pStyle w:val="Standardabsatz"/>
        <w:rPr>
          <w:lang w:val="en-US"/>
        </w:rPr>
      </w:pPr>
      <w:r>
        <w:rPr>
          <w:lang w:val="es-ES"/>
        </w:rPr>
        <w:t xml:space="preserve">El amplio espectro y la profundidad de las ponencias puso de manifiesto que Wirtgen Group tiene una hoja de ruta clara sobre cómo apoyar a sus clientes con soluciones digitales fiables de productos, </w:t>
      </w:r>
      <w:proofErr w:type="spellStart"/>
      <w:r>
        <w:rPr>
          <w:lang w:val="es-ES"/>
        </w:rPr>
        <w:t>Production</w:t>
      </w:r>
      <w:proofErr w:type="spellEnd"/>
      <w:r>
        <w:rPr>
          <w:lang w:val="es-ES"/>
        </w:rPr>
        <w:t xml:space="preserve"> </w:t>
      </w:r>
      <w:proofErr w:type="spellStart"/>
      <w:r>
        <w:rPr>
          <w:lang w:val="es-ES"/>
        </w:rPr>
        <w:t>Systems</w:t>
      </w:r>
      <w:proofErr w:type="spellEnd"/>
      <w:r>
        <w:rPr>
          <w:lang w:val="es-ES"/>
        </w:rPr>
        <w:t xml:space="preserve"> y servicio técnico y también sobre cómo impulsar con ellas de forma decisiva la transformación digital en el sector. </w:t>
      </w:r>
    </w:p>
    <w:p w14:paraId="7F7523B4" w14:textId="02C7760A" w:rsidR="00954D68" w:rsidRPr="00103D4E" w:rsidRDefault="00954D68" w:rsidP="00954D68">
      <w:pPr>
        <w:pStyle w:val="Absatzberschrift"/>
        <w:rPr>
          <w:lang w:val="en-US"/>
        </w:rPr>
      </w:pPr>
      <w:bookmarkStart w:id="0" w:name="_Hlk161394794"/>
      <w:r>
        <w:rPr>
          <w:bCs/>
          <w:lang w:val="es-ES"/>
        </w:rPr>
        <w:t xml:space="preserve">«Do more </w:t>
      </w:r>
      <w:proofErr w:type="spellStart"/>
      <w:r>
        <w:rPr>
          <w:bCs/>
          <w:lang w:val="es-ES"/>
        </w:rPr>
        <w:t>with</w:t>
      </w:r>
      <w:proofErr w:type="spellEnd"/>
      <w:r>
        <w:rPr>
          <w:bCs/>
          <w:lang w:val="es-ES"/>
        </w:rPr>
        <w:t xml:space="preserve"> </w:t>
      </w:r>
      <w:proofErr w:type="spellStart"/>
      <w:r>
        <w:rPr>
          <w:bCs/>
          <w:lang w:val="es-ES"/>
        </w:rPr>
        <w:t>less</w:t>
      </w:r>
      <w:proofErr w:type="spellEnd"/>
      <w:r>
        <w:rPr>
          <w:bCs/>
          <w:lang w:val="es-ES"/>
        </w:rPr>
        <w:t xml:space="preserve">»: soluciones de </w:t>
      </w:r>
      <w:proofErr w:type="spellStart"/>
      <w:r>
        <w:rPr>
          <w:bCs/>
          <w:lang w:val="es-ES"/>
        </w:rPr>
        <w:t>Production</w:t>
      </w:r>
      <w:proofErr w:type="spellEnd"/>
      <w:r>
        <w:rPr>
          <w:bCs/>
          <w:lang w:val="es-ES"/>
        </w:rPr>
        <w:t xml:space="preserve"> </w:t>
      </w:r>
      <w:proofErr w:type="spellStart"/>
      <w:r>
        <w:rPr>
          <w:bCs/>
          <w:lang w:val="es-ES"/>
        </w:rPr>
        <w:t>Systems</w:t>
      </w:r>
      <w:proofErr w:type="spellEnd"/>
      <w:r>
        <w:rPr>
          <w:bCs/>
          <w:lang w:val="es-ES"/>
        </w:rPr>
        <w:t xml:space="preserve">, en acción </w:t>
      </w:r>
    </w:p>
    <w:bookmarkEnd w:id="0"/>
    <w:p w14:paraId="5A9C6157" w14:textId="26B24952" w:rsidR="00954D68" w:rsidRPr="00103D4E" w:rsidRDefault="00954D68" w:rsidP="00954D68">
      <w:pPr>
        <w:pStyle w:val="Standardabsatz"/>
        <w:rPr>
          <w:lang w:val="en-US"/>
        </w:rPr>
      </w:pPr>
      <w:r>
        <w:rPr>
          <w:lang w:val="es-ES"/>
        </w:rPr>
        <w:t xml:space="preserve">En suma, el mayor potencial ecológico y también económico radica en el proceso de construcción en su conjunto. La forma en que contribuyen a ello las soluciones de </w:t>
      </w:r>
      <w:proofErr w:type="spellStart"/>
      <w:r>
        <w:rPr>
          <w:lang w:val="es-ES"/>
        </w:rPr>
        <w:t>Production</w:t>
      </w:r>
      <w:proofErr w:type="spellEnd"/>
      <w:r>
        <w:rPr>
          <w:lang w:val="es-ES"/>
        </w:rPr>
        <w:t xml:space="preserve"> </w:t>
      </w:r>
      <w:proofErr w:type="spellStart"/>
      <w:r>
        <w:rPr>
          <w:lang w:val="es-ES"/>
        </w:rPr>
        <w:t>Systems</w:t>
      </w:r>
      <w:proofErr w:type="spellEnd"/>
      <w:r>
        <w:rPr>
          <w:lang w:val="es-ES"/>
        </w:rPr>
        <w:t xml:space="preserve"> de Wirtgen Group se mostró en diversas aplicaciones en directo, por </w:t>
      </w:r>
      <w:proofErr w:type="gramStart"/>
      <w:r>
        <w:rPr>
          <w:lang w:val="es-ES"/>
        </w:rPr>
        <w:t>ejemplo</w:t>
      </w:r>
      <w:proofErr w:type="gramEnd"/>
      <w:r>
        <w:rPr>
          <w:lang w:val="es-ES"/>
        </w:rPr>
        <w:t xml:space="preserve"> mediante el uso de asfalto de temperatura reducida, el reciclaje de hormigón y asfalto o la estabilización del suelo. El uso selectivo de tecnologías da lugar a una mayor precisión, resultados de mayor calidad y menor consumo de material. En otras palabras: Do More </w:t>
      </w:r>
      <w:proofErr w:type="spellStart"/>
      <w:r>
        <w:rPr>
          <w:lang w:val="es-ES"/>
        </w:rPr>
        <w:t>with</w:t>
      </w:r>
      <w:proofErr w:type="spellEnd"/>
      <w:r>
        <w:rPr>
          <w:lang w:val="es-ES"/>
        </w:rPr>
        <w:t xml:space="preserve"> </w:t>
      </w:r>
      <w:proofErr w:type="spellStart"/>
      <w:r>
        <w:rPr>
          <w:lang w:val="es-ES"/>
        </w:rPr>
        <w:t>Less</w:t>
      </w:r>
      <w:proofErr w:type="spellEnd"/>
      <w:r>
        <w:rPr>
          <w:lang w:val="es-ES"/>
        </w:rPr>
        <w:t xml:space="preserve"> – </w:t>
      </w:r>
      <w:proofErr w:type="spellStart"/>
      <w:r>
        <w:rPr>
          <w:lang w:val="es-ES"/>
        </w:rPr>
        <w:t>Smarter</w:t>
      </w:r>
      <w:proofErr w:type="spellEnd"/>
      <w:r>
        <w:rPr>
          <w:lang w:val="es-ES"/>
        </w:rPr>
        <w:t xml:space="preserve">, </w:t>
      </w:r>
      <w:proofErr w:type="spellStart"/>
      <w:r>
        <w:rPr>
          <w:lang w:val="es-ES"/>
        </w:rPr>
        <w:t>Safer</w:t>
      </w:r>
      <w:proofErr w:type="spellEnd"/>
      <w:r>
        <w:rPr>
          <w:lang w:val="es-ES"/>
        </w:rPr>
        <w:t xml:space="preserve">, and more </w:t>
      </w:r>
      <w:proofErr w:type="spellStart"/>
      <w:r>
        <w:rPr>
          <w:lang w:val="es-ES"/>
        </w:rPr>
        <w:t>Sustainable</w:t>
      </w:r>
      <w:proofErr w:type="spellEnd"/>
      <w:r>
        <w:rPr>
          <w:lang w:val="es-ES"/>
        </w:rPr>
        <w:t xml:space="preserve">. </w:t>
      </w:r>
    </w:p>
    <w:p w14:paraId="318AF1E7" w14:textId="51E9B4CD" w:rsidR="00954D68" w:rsidRPr="00103D4E" w:rsidRDefault="00954D68" w:rsidP="00954D68">
      <w:pPr>
        <w:pStyle w:val="Standardabsatz"/>
        <w:rPr>
          <w:lang w:val="en-US"/>
        </w:rPr>
      </w:pPr>
      <w:r>
        <w:rPr>
          <w:lang w:val="es-ES"/>
        </w:rPr>
        <w:t xml:space="preserve">«Esto les permite a nuestros clientes realizar más proyectos de construcción con menos recursos, así como construir y reparar más infraestructuras y ser más rentables al </w:t>
      </w:r>
      <w:r>
        <w:rPr>
          <w:lang w:val="es-ES"/>
        </w:rPr>
        <w:lastRenderedPageBreak/>
        <w:t>mismo tiempo», afirmó Knickel. Al mismo tiempo, subrayó que los sistemas de asistencia digitales y la automatización de los procesos también contribuyen a hacer frente a la escasez de profesionales en el sector: «Esto también les permite a los operadores menos experimentados lograr resultados de la misma calidad que una empresa experta». Además, las soluciones telemáticas les aportan a los clientes más transparencia sobre el estado de sus flotas, lo que les permite realizar un servicio técnico proactivo de sus máquinas y, por tanto, aún más específico.</w:t>
      </w:r>
    </w:p>
    <w:p w14:paraId="3189F890" w14:textId="7FB3F2D3" w:rsidR="00954D68" w:rsidRPr="00103D4E" w:rsidRDefault="00753D8D" w:rsidP="00954D68">
      <w:pPr>
        <w:pStyle w:val="Absatzberschrift"/>
        <w:rPr>
          <w:lang w:val="en-US"/>
        </w:rPr>
      </w:pPr>
      <w:r>
        <w:rPr>
          <w:bCs/>
          <w:lang w:val="es-ES"/>
        </w:rPr>
        <w:t xml:space="preserve">Un vistazo entre bastidores: Kleemann abre las puertas de su fábrica </w:t>
      </w:r>
    </w:p>
    <w:p w14:paraId="28ACF0B3" w14:textId="354F2C24" w:rsidR="007D3D7F" w:rsidRPr="00103D4E" w:rsidRDefault="00753D8D" w:rsidP="00753D8D">
      <w:pPr>
        <w:pStyle w:val="Standardabsatz"/>
        <w:rPr>
          <w:bCs/>
          <w:highlight w:val="yellow"/>
          <w:lang w:val="en-US"/>
        </w:rPr>
      </w:pPr>
      <w:r>
        <w:rPr>
          <w:lang w:val="es-ES"/>
        </w:rPr>
        <w:t>El público especializado pudo adquirir una interesante perspectiva también en el marco de la visita guiada a las naves de producción de la anfitriona Kleemann. La fábrica altamente especializada se ha venido ampliando desde su construcción inicial en 2009 y se está configurando según la estrategia de sostenibilidad, al igual que todas las fábricas de Wirtgen Group, con vistas a un funcionamiento sostenible. En la actualidad, la fábrica de Kleemann se cuenta entre los centros de producción más modernos dedicados a la fabricación de instalaciones de trituración y cribado. Muchos visitantes quedaron impresionados, entre otras cosas, por los complejos centros de mecanizado donde se fabrican con máxima precisión los principales componentes de las instalaciones de Kleemann.</w:t>
      </w:r>
      <w:r>
        <w:rPr>
          <w:highlight w:val="yellow"/>
          <w:lang w:val="es-ES"/>
        </w:rPr>
        <w:t xml:space="preserve"> </w:t>
      </w:r>
    </w:p>
    <w:p w14:paraId="0F270069" w14:textId="22CC7BF9" w:rsidR="00954D68" w:rsidRPr="00103D4E" w:rsidRDefault="00753D8D" w:rsidP="00753D8D">
      <w:pPr>
        <w:pStyle w:val="Standardabsatz"/>
        <w:rPr>
          <w:bCs/>
          <w:lang w:val="en-US"/>
        </w:rPr>
      </w:pPr>
      <w:bookmarkStart w:id="1" w:name="_Hlk161396328"/>
      <w:r>
        <w:rPr>
          <w:lang w:val="es-ES"/>
        </w:rPr>
        <w:t xml:space="preserve">«En los últimos años hemos ampliado de forma selectiva nuestra cartera de productos, y actualmente ofrecemos productos adecuados para cada aplicación, ya sea en el ámbito del reciclaje o el tratamiento de piedra natural. Para ello hemos invertido, entre otras cosas, en el aumento de las capacidades de producción y en la optimización de nuestros procesos logísticos y de montaje», describe la evolución de la sede de </w:t>
      </w:r>
      <w:proofErr w:type="spellStart"/>
      <w:r>
        <w:rPr>
          <w:lang w:val="es-ES"/>
        </w:rPr>
        <w:t>Göppingen</w:t>
      </w:r>
      <w:proofErr w:type="spellEnd"/>
      <w:r>
        <w:rPr>
          <w:lang w:val="es-ES"/>
        </w:rPr>
        <w:t xml:space="preserve"> el gerente de Kleemann, Alexander Knam. Considera que el especialista en tratamiento de materiales goza de un posicionamiento ideal para el futuro: «De esta forma hemos creado la base para seguir fabricando nuestros productos y tecnologías en condiciones ideales, es decir, de forma sostenible y eficiente», explicó Knam.</w:t>
      </w:r>
    </w:p>
    <w:bookmarkEnd w:id="1"/>
    <w:p w14:paraId="56749FD9" w14:textId="4907415B" w:rsidR="00825A66" w:rsidRPr="00103D4E" w:rsidRDefault="00825A66" w:rsidP="00753D8D">
      <w:pPr>
        <w:pStyle w:val="Standardabsatz"/>
        <w:rPr>
          <w:lang w:val="en-US"/>
        </w:rPr>
      </w:pPr>
    </w:p>
    <w:p w14:paraId="31412CCB" w14:textId="3735E22B" w:rsidR="00E15EBE" w:rsidRPr="00103D4E" w:rsidRDefault="00E15EBE" w:rsidP="00E15EBE">
      <w:pPr>
        <w:pStyle w:val="Fotos"/>
        <w:rPr>
          <w:color w:val="FF0000"/>
          <w:lang w:val="en-US"/>
        </w:rPr>
      </w:pPr>
      <w:r>
        <w:rPr>
          <w:bCs/>
          <w:lang w:val="es-ES"/>
        </w:rPr>
        <w:t xml:space="preserve">Fotos: </w:t>
      </w:r>
    </w:p>
    <w:p w14:paraId="6D1459DF" w14:textId="652C2DB8" w:rsidR="002A247E" w:rsidRDefault="00A46F1E" w:rsidP="002A247E">
      <w:pPr>
        <w:pStyle w:val="BUbold"/>
        <w:rPr>
          <w:lang w:val="pt-BR"/>
        </w:rPr>
      </w:pPr>
      <w:r>
        <w:rPr>
          <w:b w:val="0"/>
          <w:noProof/>
          <w:lang w:val="es-ES"/>
        </w:rPr>
        <w:drawing>
          <wp:inline distT="0" distB="0" distL="0" distR="0" wp14:anchorId="1B66E54E" wp14:editId="7DF89D6A">
            <wp:extent cx="2162003" cy="1619250"/>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a:picLocks noChangeAspect="1" noChangeArrowheads="1"/>
                    </pic:cNvPicPr>
                  </pic:nvPicPr>
                  <pic:blipFill>
                    <a:blip r:embed="rId8" cstate="print">
                      <a:extLst>
                        <a:ext uri="{28A0092B-C50C-407E-A947-70E740481C1C}">
                          <a14:useLocalDpi xmlns:a14="http://schemas.microsoft.com/office/drawing/2010/main"/>
                        </a:ext>
                      </a:extLst>
                    </a:blip>
                    <a:stretch>
                      <a:fillRect/>
                    </a:stretch>
                  </pic:blipFill>
                  <pic:spPr bwMode="auto">
                    <a:xfrm>
                      <a:off x="0" y="0"/>
                      <a:ext cx="2165609" cy="1621951"/>
                    </a:xfrm>
                    <a:prstGeom prst="rect">
                      <a:avLst/>
                    </a:prstGeom>
                    <a:noFill/>
                    <a:ln>
                      <a:noFill/>
                    </a:ln>
                  </pic:spPr>
                </pic:pic>
              </a:graphicData>
            </a:graphic>
          </wp:inline>
        </w:drawing>
      </w:r>
      <w:r w:rsidR="00CB09CB">
        <w:rPr>
          <w:lang w:val="pt-BR"/>
        </w:rPr>
        <w:t xml:space="preserve">  </w:t>
      </w:r>
      <w:r w:rsidR="00CB09CB">
        <w:rPr>
          <w:b w:val="0"/>
          <w:noProof/>
          <w:lang w:val="es-ES"/>
        </w:rPr>
        <w:drawing>
          <wp:inline distT="0" distB="0" distL="0" distR="0" wp14:anchorId="6AE2E035" wp14:editId="0BFAFFC9">
            <wp:extent cx="3349509" cy="1615440"/>
            <wp:effectExtent l="0" t="0" r="3810" b="381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a:picLocks noChangeAspect="1" noChangeArrowheads="1"/>
                    </pic:cNvPicPr>
                  </pic:nvPicPr>
                  <pic:blipFill>
                    <a:blip r:embed="rId9" cstate="print">
                      <a:extLst>
                        <a:ext uri="{28A0092B-C50C-407E-A947-70E740481C1C}">
                          <a14:useLocalDpi xmlns:a14="http://schemas.microsoft.com/office/drawing/2010/main"/>
                        </a:ext>
                      </a:extLst>
                    </a:blip>
                    <a:stretch>
                      <a:fillRect/>
                    </a:stretch>
                  </pic:blipFill>
                  <pic:spPr bwMode="auto">
                    <a:xfrm>
                      <a:off x="0" y="0"/>
                      <a:ext cx="3360421" cy="1620703"/>
                    </a:xfrm>
                    <a:prstGeom prst="rect">
                      <a:avLst/>
                    </a:prstGeom>
                    <a:noFill/>
                    <a:ln>
                      <a:noFill/>
                    </a:ln>
                  </pic:spPr>
                </pic:pic>
              </a:graphicData>
            </a:graphic>
          </wp:inline>
        </w:drawing>
      </w:r>
      <w:r>
        <w:rPr>
          <w:b w:val="0"/>
          <w:lang w:val="es-ES"/>
        </w:rPr>
        <w:br/>
      </w:r>
      <w:r w:rsidR="002A247E" w:rsidRPr="00FE7882">
        <w:rPr>
          <w:lang w:val="pt-BR"/>
        </w:rPr>
        <w:t>WG_pic_TechnologyDays2024_MachineExhibition_0001</w:t>
      </w:r>
    </w:p>
    <w:p w14:paraId="20879CE4" w14:textId="40C8B56D" w:rsidR="002611FE" w:rsidRPr="00103D4E" w:rsidRDefault="002A247E" w:rsidP="002A247E">
      <w:pPr>
        <w:pStyle w:val="BUbold"/>
        <w:rPr>
          <w:color w:val="FF0000"/>
          <w:lang w:val="en-US"/>
        </w:rPr>
      </w:pPr>
      <w:r w:rsidRPr="00C6096A">
        <w:rPr>
          <w:bCs/>
          <w:lang w:val="pt-BR"/>
        </w:rPr>
        <w:t>WG_pic_TechnologyDays2024_EveningEvent_4403</w:t>
      </w:r>
    </w:p>
    <w:p w14:paraId="1F8A7162" w14:textId="576CEA91" w:rsidR="006C0C87" w:rsidRPr="00103D4E" w:rsidRDefault="00FF587F" w:rsidP="00C84D75">
      <w:pPr>
        <w:pStyle w:val="BUnormal"/>
        <w:rPr>
          <w:lang w:val="en-US"/>
        </w:rPr>
      </w:pPr>
      <w:r>
        <w:rPr>
          <w:lang w:val="es-ES"/>
        </w:rPr>
        <w:t xml:space="preserve">En los </w:t>
      </w:r>
      <w:proofErr w:type="spellStart"/>
      <w:r>
        <w:rPr>
          <w:lang w:val="es-ES"/>
        </w:rPr>
        <w:t>Technology</w:t>
      </w:r>
      <w:proofErr w:type="spellEnd"/>
      <w:r>
        <w:rPr>
          <w:lang w:val="es-ES"/>
        </w:rPr>
        <w:t xml:space="preserve"> </w:t>
      </w:r>
      <w:proofErr w:type="spellStart"/>
      <w:r>
        <w:rPr>
          <w:lang w:val="es-ES"/>
        </w:rPr>
        <w:t>Days</w:t>
      </w:r>
      <w:proofErr w:type="spellEnd"/>
      <w:r>
        <w:rPr>
          <w:lang w:val="es-ES"/>
        </w:rPr>
        <w:t xml:space="preserve"> 2024, Wirtgen Group presentó bajo el lema «</w:t>
      </w:r>
      <w:proofErr w:type="spellStart"/>
      <w:r>
        <w:rPr>
          <w:lang w:val="es-ES"/>
        </w:rPr>
        <w:t>Smarter</w:t>
      </w:r>
      <w:proofErr w:type="spellEnd"/>
      <w:r>
        <w:rPr>
          <w:lang w:val="es-ES"/>
        </w:rPr>
        <w:t xml:space="preserve">. </w:t>
      </w:r>
      <w:proofErr w:type="spellStart"/>
      <w:r>
        <w:rPr>
          <w:lang w:val="es-ES"/>
        </w:rPr>
        <w:t>Safer</w:t>
      </w:r>
      <w:proofErr w:type="spellEnd"/>
      <w:r>
        <w:rPr>
          <w:lang w:val="es-ES"/>
        </w:rPr>
        <w:t xml:space="preserve">. More </w:t>
      </w:r>
      <w:proofErr w:type="spellStart"/>
      <w:r>
        <w:rPr>
          <w:lang w:val="es-ES"/>
        </w:rPr>
        <w:t>Sustainable</w:t>
      </w:r>
      <w:proofErr w:type="spellEnd"/>
      <w:r>
        <w:rPr>
          <w:lang w:val="es-ES"/>
        </w:rPr>
        <w:t xml:space="preserve">.» soluciones innovadoras para la construcción de carreteras y el tratamiento de materiales. </w:t>
      </w:r>
    </w:p>
    <w:p w14:paraId="47324A88" w14:textId="77777777" w:rsidR="002611FE" w:rsidRPr="00103D4E" w:rsidRDefault="002611FE" w:rsidP="002611FE">
      <w:pPr>
        <w:pStyle w:val="BUnormal"/>
        <w:rPr>
          <w:lang w:val="en-US"/>
        </w:rPr>
      </w:pPr>
    </w:p>
    <w:p w14:paraId="29E92010" w14:textId="71D2489A" w:rsidR="00BD25D1" w:rsidRPr="002A247E" w:rsidRDefault="00BD25D1" w:rsidP="00BD25D1">
      <w:pPr>
        <w:pStyle w:val="BUbold"/>
        <w:rPr>
          <w:lang w:val="en-US"/>
        </w:rPr>
      </w:pPr>
      <w:r>
        <w:rPr>
          <w:b w:val="0"/>
          <w:noProof/>
          <w:lang w:val="es-ES"/>
        </w:rPr>
        <w:lastRenderedPageBreak/>
        <w:drawing>
          <wp:inline distT="0" distB="0" distL="0" distR="0" wp14:anchorId="7CBAC95B" wp14:editId="16B3F34E">
            <wp:extent cx="2357437" cy="1571625"/>
            <wp:effectExtent l="0" t="0" r="508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a:picLocks noChangeAspect="1" noChangeArrowheads="1"/>
                    </pic:cNvPicPr>
                  </pic:nvPicPr>
                  <pic:blipFill>
                    <a:blip r:embed="rId10" cstate="print">
                      <a:extLst>
                        <a:ext uri="{28A0092B-C50C-407E-A947-70E740481C1C}">
                          <a14:useLocalDpi xmlns:a14="http://schemas.microsoft.com/office/drawing/2010/main"/>
                        </a:ext>
                      </a:extLst>
                    </a:blip>
                    <a:stretch>
                      <a:fillRect/>
                    </a:stretch>
                  </pic:blipFill>
                  <pic:spPr bwMode="auto">
                    <a:xfrm>
                      <a:off x="0" y="0"/>
                      <a:ext cx="2366060" cy="1577374"/>
                    </a:xfrm>
                    <a:prstGeom prst="rect">
                      <a:avLst/>
                    </a:prstGeom>
                    <a:noFill/>
                    <a:ln>
                      <a:noFill/>
                    </a:ln>
                  </pic:spPr>
                </pic:pic>
              </a:graphicData>
            </a:graphic>
          </wp:inline>
        </w:drawing>
      </w:r>
      <w:r w:rsidR="009A026A">
        <w:rPr>
          <w:lang w:val="es-ES"/>
        </w:rPr>
        <w:t xml:space="preserve">  </w:t>
      </w:r>
      <w:r w:rsidR="009A026A">
        <w:rPr>
          <w:b w:val="0"/>
          <w:noProof/>
          <w:lang w:val="es-ES"/>
        </w:rPr>
        <w:drawing>
          <wp:inline distT="0" distB="0" distL="0" distR="0" wp14:anchorId="2B384331" wp14:editId="25750E57">
            <wp:extent cx="2831876" cy="1576705"/>
            <wp:effectExtent l="0" t="0" r="6985" b="444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a:picLocks noChangeAspect="1" noChangeArrowheads="1"/>
                    </pic:cNvPicPr>
                  </pic:nvPicPr>
                  <pic:blipFill>
                    <a:blip r:embed="rId11" cstate="print">
                      <a:extLst>
                        <a:ext uri="{28A0092B-C50C-407E-A947-70E740481C1C}">
                          <a14:useLocalDpi xmlns:a14="http://schemas.microsoft.com/office/drawing/2010/main"/>
                        </a:ext>
                      </a:extLst>
                    </a:blip>
                    <a:stretch>
                      <a:fillRect/>
                    </a:stretch>
                  </pic:blipFill>
                  <pic:spPr bwMode="auto">
                    <a:xfrm>
                      <a:off x="0" y="0"/>
                      <a:ext cx="2839480" cy="1580939"/>
                    </a:xfrm>
                    <a:prstGeom prst="rect">
                      <a:avLst/>
                    </a:prstGeom>
                    <a:noFill/>
                    <a:ln>
                      <a:noFill/>
                    </a:ln>
                  </pic:spPr>
                </pic:pic>
              </a:graphicData>
            </a:graphic>
          </wp:inline>
        </w:drawing>
      </w:r>
      <w:r>
        <w:rPr>
          <w:b w:val="0"/>
          <w:lang w:val="es-ES"/>
        </w:rPr>
        <w:br/>
      </w:r>
      <w:r w:rsidR="002A247E" w:rsidRPr="002A247E">
        <w:rPr>
          <w:lang w:val="en-US"/>
        </w:rPr>
        <w:t>WG_pic_TechnologyDays2024_LiveDemos_7</w:t>
      </w:r>
      <w:r w:rsidR="009A026A">
        <w:rPr>
          <w:lang w:val="en-US"/>
        </w:rPr>
        <w:t>6</w:t>
      </w:r>
      <w:r w:rsidR="002A247E" w:rsidRPr="002A247E">
        <w:rPr>
          <w:lang w:val="en-US"/>
        </w:rPr>
        <w:t>80</w:t>
      </w:r>
      <w:r w:rsidR="009A026A" w:rsidRPr="009A026A">
        <w:rPr>
          <w:lang w:val="en-US"/>
        </w:rPr>
        <w:t xml:space="preserve"> </w:t>
      </w:r>
      <w:r w:rsidR="009A026A" w:rsidRPr="009A026A">
        <w:rPr>
          <w:lang w:val="en-US"/>
        </w:rPr>
        <w:t>WG_pic_TechnologyDays2024_LiveDemos_7080</w:t>
      </w:r>
    </w:p>
    <w:p w14:paraId="05C66E9B" w14:textId="77777777" w:rsidR="00FF587F" w:rsidRDefault="00FF587F" w:rsidP="002611FE">
      <w:pPr>
        <w:pStyle w:val="BUnormal"/>
        <w:rPr>
          <w:lang w:val="es-ES"/>
        </w:rPr>
      </w:pPr>
      <w:r>
        <w:rPr>
          <w:lang w:val="es-ES"/>
        </w:rPr>
        <w:t xml:space="preserve">Do More </w:t>
      </w:r>
      <w:proofErr w:type="spellStart"/>
      <w:r>
        <w:rPr>
          <w:lang w:val="es-ES"/>
        </w:rPr>
        <w:t>with</w:t>
      </w:r>
      <w:proofErr w:type="spellEnd"/>
      <w:r>
        <w:rPr>
          <w:lang w:val="es-ES"/>
        </w:rPr>
        <w:t xml:space="preserve"> </w:t>
      </w:r>
      <w:proofErr w:type="spellStart"/>
      <w:r>
        <w:rPr>
          <w:lang w:val="es-ES"/>
        </w:rPr>
        <w:t>Less</w:t>
      </w:r>
      <w:proofErr w:type="spellEnd"/>
      <w:r>
        <w:rPr>
          <w:lang w:val="es-ES"/>
        </w:rPr>
        <w:t xml:space="preserve">: en diversas aplicaciones en directo, Wirtgen Group presentó soluciones para los </w:t>
      </w:r>
      <w:proofErr w:type="spellStart"/>
      <w:r>
        <w:rPr>
          <w:lang w:val="es-ES"/>
        </w:rPr>
        <w:t>Production</w:t>
      </w:r>
      <w:proofErr w:type="spellEnd"/>
      <w:r>
        <w:rPr>
          <w:lang w:val="es-ES"/>
        </w:rPr>
        <w:t xml:space="preserve"> </w:t>
      </w:r>
      <w:proofErr w:type="spellStart"/>
      <w:r>
        <w:rPr>
          <w:lang w:val="es-ES"/>
        </w:rPr>
        <w:t>Systems</w:t>
      </w:r>
      <w:proofErr w:type="spellEnd"/>
      <w:r>
        <w:rPr>
          <w:lang w:val="es-ES"/>
        </w:rPr>
        <w:t xml:space="preserve"> de sus clientes. Además, mostró cómo el uso selectivo de tecnologías da lugar a patrones predecibles, una mayor precisión, resultados de mayor calidad y menor consumo de material. </w:t>
      </w:r>
    </w:p>
    <w:p w14:paraId="6C809286" w14:textId="77777777" w:rsidR="00CB09CB" w:rsidRDefault="00CB09CB" w:rsidP="00FF587F">
      <w:pPr>
        <w:pStyle w:val="BUbold"/>
        <w:rPr>
          <w:lang w:val="pt-BR"/>
        </w:rPr>
      </w:pPr>
    </w:p>
    <w:p w14:paraId="288DF505" w14:textId="1C9A74D3" w:rsidR="00FF587F" w:rsidRPr="00237E4B" w:rsidRDefault="00FF587F" w:rsidP="00FF587F">
      <w:pPr>
        <w:pStyle w:val="BUbold"/>
        <w:rPr>
          <w:color w:val="FF0000"/>
          <w:lang w:val="pt-BR"/>
        </w:rPr>
      </w:pPr>
      <w:r>
        <w:rPr>
          <w:b w:val="0"/>
          <w:noProof/>
          <w:lang w:val="es-ES"/>
        </w:rPr>
        <w:drawing>
          <wp:inline distT="0" distB="0" distL="0" distR="0" wp14:anchorId="037D8E92" wp14:editId="5A9DDF25">
            <wp:extent cx="2371724" cy="1581150"/>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a:picLocks noChangeAspect="1" noChangeArrowheads="1"/>
                    </pic:cNvPicPr>
                  </pic:nvPicPr>
                  <pic:blipFill>
                    <a:blip r:embed="rId12" cstate="print">
                      <a:extLst>
                        <a:ext uri="{28A0092B-C50C-407E-A947-70E740481C1C}">
                          <a14:useLocalDpi xmlns:a14="http://schemas.microsoft.com/office/drawing/2010/main"/>
                        </a:ext>
                      </a:extLst>
                    </a:blip>
                    <a:stretch>
                      <a:fillRect/>
                    </a:stretch>
                  </pic:blipFill>
                  <pic:spPr bwMode="auto">
                    <a:xfrm>
                      <a:off x="0" y="0"/>
                      <a:ext cx="2375154" cy="1583437"/>
                    </a:xfrm>
                    <a:prstGeom prst="rect">
                      <a:avLst/>
                    </a:prstGeom>
                    <a:noFill/>
                    <a:ln>
                      <a:noFill/>
                    </a:ln>
                  </pic:spPr>
                </pic:pic>
              </a:graphicData>
            </a:graphic>
          </wp:inline>
        </w:drawing>
      </w:r>
      <w:r>
        <w:rPr>
          <w:b w:val="0"/>
          <w:lang w:val="es-ES"/>
        </w:rPr>
        <w:br/>
      </w:r>
      <w:r w:rsidR="002A247E" w:rsidRPr="00636518">
        <w:rPr>
          <w:lang w:val="pt-BR"/>
        </w:rPr>
        <w:t>WG_pic_TechnologyDays2024_Pressconference_1160</w:t>
      </w:r>
    </w:p>
    <w:p w14:paraId="68FD89F2" w14:textId="1318D12C" w:rsidR="00FF587F" w:rsidRPr="00237E4B" w:rsidRDefault="00FF587F" w:rsidP="00FF587F">
      <w:pPr>
        <w:pStyle w:val="BUnormal"/>
        <w:rPr>
          <w:lang w:val="pt-BR"/>
        </w:rPr>
      </w:pPr>
      <w:r>
        <w:rPr>
          <w:lang w:val="es-ES"/>
        </w:rPr>
        <w:t>En el marco de la tradicional rueda de prensa, Alexander Knam, gerente de Kleemann GmbH</w:t>
      </w:r>
      <w:r w:rsidR="0075635E">
        <w:rPr>
          <w:lang w:val="es-ES"/>
        </w:rPr>
        <w:t>,</w:t>
      </w:r>
      <w:r>
        <w:rPr>
          <w:lang w:val="es-ES"/>
        </w:rPr>
        <w:t xml:space="preserve"> </w:t>
      </w:r>
      <w:r w:rsidR="00237E4B">
        <w:rPr>
          <w:lang w:val="es-ES"/>
        </w:rPr>
        <w:t xml:space="preserve">y Volker Knickel, CEO de Wirtgen Group, </w:t>
      </w:r>
      <w:r>
        <w:rPr>
          <w:lang w:val="es-ES"/>
        </w:rPr>
        <w:t xml:space="preserve">presentaron información sobre los objetivos del grupo empresarial, entre otros asuntos. </w:t>
      </w:r>
    </w:p>
    <w:p w14:paraId="61A1ED8B" w14:textId="77777777" w:rsidR="00FF587F" w:rsidRPr="00237E4B" w:rsidRDefault="00FF587F" w:rsidP="00FF587F">
      <w:pPr>
        <w:pStyle w:val="BUnormal"/>
        <w:rPr>
          <w:lang w:val="pt-BR"/>
        </w:rPr>
      </w:pPr>
    </w:p>
    <w:p w14:paraId="1C22C52A" w14:textId="601E042B" w:rsidR="00FF587F" w:rsidRPr="00237E4B" w:rsidRDefault="00FF587F" w:rsidP="00FF587F">
      <w:pPr>
        <w:pStyle w:val="BUbold"/>
        <w:rPr>
          <w:lang w:val="pt-BR"/>
        </w:rPr>
      </w:pPr>
      <w:r>
        <w:rPr>
          <w:b w:val="0"/>
          <w:noProof/>
          <w:lang w:val="es-ES"/>
        </w:rPr>
        <w:drawing>
          <wp:inline distT="0" distB="0" distL="0" distR="0" wp14:anchorId="7C744034" wp14:editId="31D66491">
            <wp:extent cx="2386011" cy="1590675"/>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pic:cNvPicPr>
                      <a:picLocks noChangeAspect="1" noChangeArrowheads="1"/>
                    </pic:cNvPicPr>
                  </pic:nvPicPr>
                  <pic:blipFill>
                    <a:blip r:embed="rId13" cstate="print">
                      <a:extLst>
                        <a:ext uri="{28A0092B-C50C-407E-A947-70E740481C1C}">
                          <a14:useLocalDpi xmlns:a14="http://schemas.microsoft.com/office/drawing/2010/main"/>
                        </a:ext>
                      </a:extLst>
                    </a:blip>
                    <a:stretch>
                      <a:fillRect/>
                    </a:stretch>
                  </pic:blipFill>
                  <pic:spPr bwMode="auto">
                    <a:xfrm>
                      <a:off x="0" y="0"/>
                      <a:ext cx="2392187" cy="1594792"/>
                    </a:xfrm>
                    <a:prstGeom prst="rect">
                      <a:avLst/>
                    </a:prstGeom>
                    <a:noFill/>
                    <a:ln>
                      <a:noFill/>
                    </a:ln>
                  </pic:spPr>
                </pic:pic>
              </a:graphicData>
            </a:graphic>
          </wp:inline>
        </w:drawing>
      </w:r>
      <w:r>
        <w:rPr>
          <w:b w:val="0"/>
          <w:lang w:val="es-ES"/>
        </w:rPr>
        <w:br/>
      </w:r>
      <w:r w:rsidR="002A247E" w:rsidRPr="00237E4B">
        <w:rPr>
          <w:lang w:val="pt-BR"/>
        </w:rPr>
        <w:t>WG_pic_TechnologyDays2024_MachineExhibition_1450</w:t>
      </w:r>
    </w:p>
    <w:p w14:paraId="1C3D0FAC" w14:textId="77777777" w:rsidR="00725E05" w:rsidRPr="00237E4B" w:rsidRDefault="00725E05" w:rsidP="00FF587F">
      <w:pPr>
        <w:pStyle w:val="BUnormal"/>
        <w:rPr>
          <w:highlight w:val="yellow"/>
          <w:lang w:val="pt-BR"/>
        </w:rPr>
      </w:pPr>
      <w:r>
        <w:rPr>
          <w:lang w:val="es-ES"/>
        </w:rPr>
        <w:t xml:space="preserve">Con casi 70 productos de exposición, la muestra reflejó una panorámica de la amplia gama de productos de Wirtgen, </w:t>
      </w:r>
      <w:proofErr w:type="spellStart"/>
      <w:r>
        <w:rPr>
          <w:lang w:val="es-ES"/>
        </w:rPr>
        <w:t>Vögele</w:t>
      </w:r>
      <w:proofErr w:type="spellEnd"/>
      <w:r>
        <w:rPr>
          <w:lang w:val="es-ES"/>
        </w:rPr>
        <w:t xml:space="preserve">, </w:t>
      </w:r>
      <w:proofErr w:type="spellStart"/>
      <w:r>
        <w:rPr>
          <w:lang w:val="es-ES"/>
        </w:rPr>
        <w:t>Hamm</w:t>
      </w:r>
      <w:proofErr w:type="spellEnd"/>
      <w:r>
        <w:rPr>
          <w:lang w:val="es-ES"/>
        </w:rPr>
        <w:t xml:space="preserve">, Kleemann, </w:t>
      </w:r>
      <w:proofErr w:type="spellStart"/>
      <w:r>
        <w:rPr>
          <w:lang w:val="es-ES"/>
        </w:rPr>
        <w:t>Benninghoven</w:t>
      </w:r>
      <w:proofErr w:type="spellEnd"/>
      <w:r>
        <w:rPr>
          <w:lang w:val="es-ES"/>
        </w:rPr>
        <w:t>, Ciber y John Deere.</w:t>
      </w:r>
    </w:p>
    <w:p w14:paraId="4A91FBF2" w14:textId="77777777" w:rsidR="00725E05" w:rsidRPr="00237E4B" w:rsidRDefault="00725E05" w:rsidP="00725E05">
      <w:pPr>
        <w:pStyle w:val="BUnormal"/>
        <w:rPr>
          <w:highlight w:val="yellow"/>
          <w:lang w:val="pt-BR"/>
        </w:rPr>
      </w:pPr>
    </w:p>
    <w:p w14:paraId="6D8EF1C1" w14:textId="0638EAE2" w:rsidR="00725E05" w:rsidRPr="00103D4E" w:rsidRDefault="00725E05" w:rsidP="00725E05">
      <w:pPr>
        <w:pStyle w:val="BUbold"/>
        <w:rPr>
          <w:color w:val="FF0000"/>
          <w:lang w:val="en-US"/>
        </w:rPr>
      </w:pPr>
      <w:r>
        <w:rPr>
          <w:b w:val="0"/>
          <w:noProof/>
          <w:highlight w:val="yellow"/>
          <w:lang w:val="es-ES"/>
        </w:rPr>
        <w:lastRenderedPageBreak/>
        <w:drawing>
          <wp:inline distT="0" distB="0" distL="0" distR="0" wp14:anchorId="660F572A" wp14:editId="0A7409E7">
            <wp:extent cx="2470772" cy="1647825"/>
            <wp:effectExtent l="0" t="0" r="635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pic:cNvPicPr>
                      <a:picLocks noChangeAspect="1" noChangeArrowheads="1"/>
                    </pic:cNvPicPr>
                  </pic:nvPicPr>
                  <pic:blipFill>
                    <a:blip r:embed="rId14" cstate="print">
                      <a:extLst>
                        <a:ext uri="{28A0092B-C50C-407E-A947-70E740481C1C}">
                          <a14:useLocalDpi xmlns:a14="http://schemas.microsoft.com/office/drawing/2010/main"/>
                        </a:ext>
                      </a:extLst>
                    </a:blip>
                    <a:stretch>
                      <a:fillRect/>
                    </a:stretch>
                  </pic:blipFill>
                  <pic:spPr bwMode="auto">
                    <a:xfrm>
                      <a:off x="0" y="0"/>
                      <a:ext cx="2475164" cy="1650754"/>
                    </a:xfrm>
                    <a:prstGeom prst="rect">
                      <a:avLst/>
                    </a:prstGeom>
                    <a:noFill/>
                    <a:ln>
                      <a:noFill/>
                    </a:ln>
                  </pic:spPr>
                </pic:pic>
              </a:graphicData>
            </a:graphic>
          </wp:inline>
        </w:drawing>
      </w:r>
      <w:r>
        <w:rPr>
          <w:b w:val="0"/>
          <w:highlight w:val="yellow"/>
          <w:lang w:val="es-ES"/>
        </w:rPr>
        <w:br/>
      </w:r>
      <w:r w:rsidR="002A247E" w:rsidRPr="00237E4B">
        <w:rPr>
          <w:lang w:val="en-US"/>
        </w:rPr>
        <w:t>WG_pic_TechnologyDays2024_FactoryTours_0786</w:t>
      </w:r>
    </w:p>
    <w:p w14:paraId="1FDD62C4" w14:textId="398BC45A" w:rsidR="00725E05" w:rsidRDefault="00725E05" w:rsidP="00725E05">
      <w:pPr>
        <w:pStyle w:val="BUbold"/>
        <w:rPr>
          <w:b w:val="0"/>
          <w:lang w:val="es-ES"/>
        </w:rPr>
      </w:pPr>
      <w:r>
        <w:rPr>
          <w:b w:val="0"/>
          <w:lang w:val="es-ES"/>
        </w:rPr>
        <w:t xml:space="preserve">Durante la visita guiada a la fábrica de Kleemann, los visitantes también quedaron impresionados por las dimensiones de las naves de producción. </w:t>
      </w:r>
    </w:p>
    <w:p w14:paraId="30A4553D" w14:textId="77777777" w:rsidR="00CB09CB" w:rsidRPr="00CB09CB" w:rsidRDefault="00CB09CB" w:rsidP="00CB09CB">
      <w:pPr>
        <w:pStyle w:val="BUnormal"/>
        <w:rPr>
          <w:lang w:val="es-ES"/>
        </w:rPr>
      </w:pPr>
    </w:p>
    <w:p w14:paraId="4CF3D91F" w14:textId="490799C9" w:rsidR="00725E05" w:rsidRPr="00103D4E" w:rsidRDefault="00725E05" w:rsidP="00725E05">
      <w:pPr>
        <w:pStyle w:val="BUbold"/>
        <w:rPr>
          <w:lang w:val="en-US"/>
        </w:rPr>
      </w:pPr>
      <w:r>
        <w:rPr>
          <w:b w:val="0"/>
          <w:noProof/>
          <w:lang w:val="es-ES"/>
        </w:rPr>
        <w:drawing>
          <wp:inline distT="0" distB="0" distL="0" distR="0" wp14:anchorId="2781487B" wp14:editId="6E1705A4">
            <wp:extent cx="2470772" cy="1647825"/>
            <wp:effectExtent l="0" t="0" r="635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a:picLocks noChangeAspect="1" noChangeArrowheads="1"/>
                    </pic:cNvPicPr>
                  </pic:nvPicPr>
                  <pic:blipFill>
                    <a:blip r:embed="rId15" cstate="print">
                      <a:extLst>
                        <a:ext uri="{28A0092B-C50C-407E-A947-70E740481C1C}">
                          <a14:useLocalDpi xmlns:a14="http://schemas.microsoft.com/office/drawing/2010/main"/>
                        </a:ext>
                      </a:extLst>
                    </a:blip>
                    <a:stretch>
                      <a:fillRect/>
                    </a:stretch>
                  </pic:blipFill>
                  <pic:spPr bwMode="auto">
                    <a:xfrm>
                      <a:off x="0" y="0"/>
                      <a:ext cx="2475047" cy="1650676"/>
                    </a:xfrm>
                    <a:prstGeom prst="rect">
                      <a:avLst/>
                    </a:prstGeom>
                    <a:noFill/>
                    <a:ln>
                      <a:noFill/>
                    </a:ln>
                  </pic:spPr>
                </pic:pic>
              </a:graphicData>
            </a:graphic>
          </wp:inline>
        </w:drawing>
      </w:r>
      <w:r>
        <w:rPr>
          <w:b w:val="0"/>
          <w:lang w:val="es-ES"/>
        </w:rPr>
        <w:br/>
      </w:r>
      <w:r w:rsidR="002A247E" w:rsidRPr="00237E4B">
        <w:rPr>
          <w:lang w:val="en-US"/>
        </w:rPr>
        <w:t>WG_pic_TechnologyDays2024_ExpertLectures_1657</w:t>
      </w:r>
    </w:p>
    <w:p w14:paraId="41DD68EE" w14:textId="315318B4" w:rsidR="00725E05" w:rsidRPr="00103D4E" w:rsidRDefault="00B37C38" w:rsidP="00725E05">
      <w:pPr>
        <w:pStyle w:val="BUnormal"/>
        <w:rPr>
          <w:lang w:val="en-US"/>
        </w:rPr>
      </w:pPr>
      <w:r>
        <w:rPr>
          <w:lang w:val="es-ES"/>
        </w:rPr>
        <w:t xml:space="preserve">Las ocho ponencias a cargo de expertos internacionales contaron con una gran asistencia. Por ejemplo, actuó como orador Michael Klein, director de productos digitales, y expuso cómo se benefician en la práctica cotidiana los usuarios del </w:t>
      </w:r>
      <w:proofErr w:type="spellStart"/>
      <w:r>
        <w:rPr>
          <w:lang w:val="es-ES"/>
        </w:rPr>
        <w:t>Operations</w:t>
      </w:r>
      <w:proofErr w:type="spellEnd"/>
      <w:r>
        <w:rPr>
          <w:lang w:val="es-ES"/>
        </w:rPr>
        <w:t xml:space="preserve"> Center, la plataforma digital de soluciones para optimizar los procesos, las máquinas y el servicio técnico. </w:t>
      </w:r>
    </w:p>
    <w:p w14:paraId="74B55AC8" w14:textId="5287BCCB" w:rsidR="00B37C38" w:rsidRPr="00103D4E" w:rsidRDefault="00B37C38" w:rsidP="00B37C38">
      <w:pPr>
        <w:pStyle w:val="BUnormal"/>
        <w:rPr>
          <w:lang w:val="en-US"/>
        </w:rPr>
      </w:pPr>
    </w:p>
    <w:p w14:paraId="079A7E39" w14:textId="4CE9042F" w:rsidR="00B37C38" w:rsidRPr="00103D4E" w:rsidRDefault="00E15EBE" w:rsidP="00B37C38">
      <w:pPr>
        <w:pStyle w:val="BUnormal"/>
        <w:rPr>
          <w:i/>
          <w:iCs/>
          <w:lang w:val="en-US"/>
        </w:rPr>
      </w:pPr>
      <w:r>
        <w:rPr>
          <w:i/>
          <w:iCs/>
          <w:lang w:val="es-ES"/>
        </w:rPr>
        <w:t>Nota: Estas fotos sirven únicamente de vista previa. Para la impresión en las publicaciones, emplear las fotos con una resolución de 300</w:t>
      </w:r>
      <w:r>
        <w:rPr>
          <w:lang w:val="es-ES"/>
        </w:rPr>
        <w:t> </w:t>
      </w:r>
      <w:r>
        <w:rPr>
          <w:i/>
          <w:iCs/>
          <w:lang w:val="es-ES"/>
        </w:rPr>
        <w:t xml:space="preserve">dpi que se encuentran disponibles para su descarga en las páginas web de </w:t>
      </w:r>
      <w:r>
        <w:rPr>
          <w:lang w:val="es-ES"/>
        </w:rPr>
        <w:t>Wirtgen Group</w:t>
      </w:r>
      <w:r>
        <w:rPr>
          <w:i/>
          <w:iCs/>
          <w:lang w:val="es-ES"/>
        </w:rPr>
        <w:t>.</w:t>
      </w:r>
    </w:p>
    <w:p w14:paraId="1D4D3255" w14:textId="77777777" w:rsidR="00CB09CB" w:rsidRDefault="00CB09CB" w:rsidP="00E15EBE">
      <w:pPr>
        <w:pStyle w:val="Absatzberschrift"/>
        <w:rPr>
          <w:bCs/>
          <w:lang w:val="es-ES"/>
        </w:rPr>
      </w:pPr>
    </w:p>
    <w:p w14:paraId="55931FB8" w14:textId="3A3BA59C" w:rsidR="00E15EBE" w:rsidRDefault="00E15EBE" w:rsidP="00E15EBE">
      <w:pPr>
        <w:pStyle w:val="Absatzberschrift"/>
        <w:rPr>
          <w:iCs/>
        </w:rPr>
      </w:pPr>
      <w:r>
        <w:rPr>
          <w:bCs/>
          <w:lang w:val="es-ES"/>
        </w:rPr>
        <w:t>Puede obtener más información en:</w:t>
      </w:r>
    </w:p>
    <w:p w14:paraId="0834BAC7" w14:textId="77777777" w:rsidR="00E15EBE" w:rsidRDefault="00E15EBE" w:rsidP="00E15EBE">
      <w:pPr>
        <w:pStyle w:val="Absatzberschrift"/>
      </w:pPr>
    </w:p>
    <w:p w14:paraId="69EE0B1B" w14:textId="77777777" w:rsidR="00E15EBE" w:rsidRPr="002B783A" w:rsidRDefault="00E15EBE" w:rsidP="00E15EBE">
      <w:pPr>
        <w:pStyle w:val="Absatzberschrift"/>
        <w:rPr>
          <w:b w:val="0"/>
          <w:bCs/>
          <w:szCs w:val="22"/>
        </w:rPr>
      </w:pPr>
      <w:r>
        <w:rPr>
          <w:b w:val="0"/>
          <w:lang w:val="es-ES"/>
        </w:rPr>
        <w:t>WIRTGEN GROUP</w:t>
      </w:r>
    </w:p>
    <w:p w14:paraId="6C2CE818" w14:textId="77777777" w:rsidR="00E15EBE" w:rsidRDefault="00E15EBE" w:rsidP="00E15EBE">
      <w:pPr>
        <w:pStyle w:val="Fuzeile1"/>
      </w:pPr>
      <w:r>
        <w:rPr>
          <w:bCs w:val="0"/>
          <w:iCs w:val="0"/>
          <w:lang w:val="es-ES"/>
        </w:rPr>
        <w:t>Public Relations</w:t>
      </w:r>
    </w:p>
    <w:p w14:paraId="11D0C008" w14:textId="77777777" w:rsidR="00E15EBE" w:rsidRDefault="00E15EBE" w:rsidP="00E15EBE">
      <w:pPr>
        <w:pStyle w:val="Fuzeile1"/>
      </w:pPr>
      <w:r>
        <w:rPr>
          <w:bCs w:val="0"/>
          <w:iCs w:val="0"/>
          <w:lang w:val="es-ES"/>
        </w:rPr>
        <w:t>Reinhard-Wirtgen-</w:t>
      </w:r>
      <w:proofErr w:type="spellStart"/>
      <w:r>
        <w:rPr>
          <w:bCs w:val="0"/>
          <w:iCs w:val="0"/>
          <w:lang w:val="es-ES"/>
        </w:rPr>
        <w:t>Straße</w:t>
      </w:r>
      <w:proofErr w:type="spellEnd"/>
      <w:r>
        <w:rPr>
          <w:bCs w:val="0"/>
          <w:iCs w:val="0"/>
          <w:lang w:val="es-ES"/>
        </w:rPr>
        <w:t xml:space="preserve"> 2</w:t>
      </w:r>
    </w:p>
    <w:p w14:paraId="1063A82F" w14:textId="77777777" w:rsidR="00E15EBE" w:rsidRDefault="00E15EBE" w:rsidP="00E15EBE">
      <w:pPr>
        <w:pStyle w:val="Fuzeile1"/>
      </w:pPr>
      <w:r>
        <w:rPr>
          <w:bCs w:val="0"/>
          <w:iCs w:val="0"/>
          <w:lang w:val="es-ES"/>
        </w:rPr>
        <w:t>53578 Windhagen</w:t>
      </w:r>
    </w:p>
    <w:p w14:paraId="5A37CC2B" w14:textId="77777777" w:rsidR="00E15EBE" w:rsidRDefault="00E15EBE" w:rsidP="00E15EBE">
      <w:pPr>
        <w:pStyle w:val="Fuzeile1"/>
      </w:pPr>
      <w:r>
        <w:rPr>
          <w:bCs w:val="0"/>
          <w:iCs w:val="0"/>
          <w:lang w:val="es-ES"/>
        </w:rPr>
        <w:t>Alemania</w:t>
      </w:r>
    </w:p>
    <w:p w14:paraId="29A07732" w14:textId="77777777" w:rsidR="00E15EBE" w:rsidRDefault="00E15EBE" w:rsidP="00E15EBE">
      <w:pPr>
        <w:pStyle w:val="Fuzeile1"/>
      </w:pPr>
    </w:p>
    <w:p w14:paraId="0C099062" w14:textId="6A963221" w:rsidR="00E15EBE" w:rsidRPr="00AB6B9C" w:rsidRDefault="00E15EBE" w:rsidP="00E15EBE">
      <w:pPr>
        <w:pStyle w:val="Fuzeile1"/>
        <w:rPr>
          <w:rFonts w:ascii="Times New Roman" w:hAnsi="Times New Roman" w:cs="Times New Roman"/>
        </w:rPr>
      </w:pPr>
      <w:r>
        <w:rPr>
          <w:bCs w:val="0"/>
          <w:iCs w:val="0"/>
          <w:lang w:val="es-ES"/>
        </w:rPr>
        <w:t>Teléfono: +49 (0) 2645 131 – 1966</w:t>
      </w:r>
    </w:p>
    <w:p w14:paraId="65F4C38F" w14:textId="77777777" w:rsidR="00E15EBE" w:rsidRPr="00AB6B9C" w:rsidRDefault="00E15EBE" w:rsidP="00E15EBE">
      <w:pPr>
        <w:pStyle w:val="Fuzeile1"/>
      </w:pPr>
      <w:r>
        <w:rPr>
          <w:bCs w:val="0"/>
          <w:iCs w:val="0"/>
          <w:lang w:val="es-ES"/>
        </w:rPr>
        <w:t>Fax: +49 (0) 2645 131 – 499</w:t>
      </w:r>
    </w:p>
    <w:p w14:paraId="79FF3B7C" w14:textId="4E52611A" w:rsidR="00E15EBE" w:rsidRPr="00AB6B9C" w:rsidRDefault="00E15EBE" w:rsidP="00E15EBE">
      <w:pPr>
        <w:pStyle w:val="Fuzeile1"/>
      </w:pPr>
      <w:r>
        <w:rPr>
          <w:bCs w:val="0"/>
          <w:iCs w:val="0"/>
          <w:lang w:val="es-ES"/>
        </w:rPr>
        <w:t>E-mail: PR@wirtgen-group.com</w:t>
      </w:r>
    </w:p>
    <w:p w14:paraId="4F99EB86" w14:textId="77777777" w:rsidR="00E15EBE" w:rsidRPr="00AB6B9C" w:rsidRDefault="00E15EBE" w:rsidP="00E15EBE">
      <w:pPr>
        <w:pStyle w:val="Fuzeile1"/>
        <w:rPr>
          <w:vanish/>
        </w:rPr>
      </w:pPr>
    </w:p>
    <w:p w14:paraId="3D604A55" w14:textId="53BC3A5B" w:rsidR="00F048D4" w:rsidRPr="00F74540" w:rsidRDefault="00E15EBE" w:rsidP="00F74540">
      <w:pPr>
        <w:pStyle w:val="Fuzeile1"/>
      </w:pPr>
      <w:r>
        <w:rPr>
          <w:bCs w:val="0"/>
          <w:iCs w:val="0"/>
          <w:lang w:val="es-ES"/>
        </w:rPr>
        <w:t>www.wirtgen-group.com</w:t>
      </w:r>
    </w:p>
    <w:sectPr w:rsidR="00F048D4" w:rsidRPr="00F74540" w:rsidSect="00CA4A09">
      <w:headerReference w:type="even" r:id="rId16"/>
      <w:headerReference w:type="default" r:id="rId17"/>
      <w:footerReference w:type="even" r:id="rId18"/>
      <w:footerReference w:type="default" r:id="rId19"/>
      <w:headerReference w:type="first" r:id="rId20"/>
      <w:footerReference w:type="first" r:id="rId21"/>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CBF6C5" w14:textId="77777777" w:rsidR="00725687" w:rsidRDefault="00725687" w:rsidP="00E55534">
      <w:r>
        <w:separator/>
      </w:r>
    </w:p>
  </w:endnote>
  <w:endnote w:type="continuationSeparator" w:id="0">
    <w:p w14:paraId="68BE8CB0" w14:textId="77777777" w:rsidR="00725687" w:rsidRDefault="00725687"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454695" w14:textId="77777777" w:rsidR="005101B4" w:rsidRDefault="005101B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szCs w:val="20"/>
              <w:lang w:val="es-ES"/>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Pr>
              <w:szCs w:val="20"/>
              <w:lang w:val="es-ES"/>
            </w:rPr>
            <w:fldChar w:fldCharType="begin"/>
          </w:r>
          <w:r>
            <w:rPr>
              <w:szCs w:val="20"/>
              <w:lang w:val="es-ES"/>
            </w:rPr>
            <w:instrText xml:space="preserve"> PAGE \# "00"</w:instrText>
          </w:r>
          <w:r>
            <w:rPr>
              <w:szCs w:val="20"/>
              <w:lang w:val="es-ES"/>
            </w:rPr>
            <w:fldChar w:fldCharType="separate"/>
          </w:r>
          <w:r>
            <w:rPr>
              <w:noProof/>
              <w:szCs w:val="20"/>
              <w:lang w:val="es-ES"/>
            </w:rPr>
            <w:t>02</w:t>
          </w:r>
          <w:r>
            <w:rPr>
              <w:szCs w:val="20"/>
              <w:lang w:val="es-ES"/>
            </w:rPr>
            <w:fldChar w:fldCharType="end"/>
          </w:r>
        </w:p>
      </w:tc>
    </w:tr>
  </w:tbl>
  <w:p w14:paraId="7CF7D2C8" w14:textId="77777777" w:rsidR="00533132" w:rsidRDefault="00BD5391">
    <w:pPr>
      <w:pStyle w:val="Fuzeile"/>
    </w:pPr>
    <w:r>
      <w:rPr>
        <w:noProof/>
        <w:lang w:val="es-ES"/>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b w:val="0"/>
              <w:iCs w:val="0"/>
              <w:szCs w:val="20"/>
              <w:lang w:val="es-ES"/>
            </w:rPr>
            <w:t>WIRTGEN</w:t>
          </w:r>
          <w:r>
            <w:rPr>
              <w:rStyle w:val="Hervorhebung"/>
              <w:bCs/>
              <w:iCs w:val="0"/>
              <w:szCs w:val="20"/>
              <w:lang w:val="es-ES"/>
            </w:rPr>
            <w:t xml:space="preserve"> GmbH</w:t>
          </w:r>
          <w:r>
            <w:rPr>
              <w:szCs w:val="20"/>
              <w:lang w:val="es-ES"/>
            </w:rPr>
            <w:t xml:space="preserve"> · Reinhard-Wirtgen-</w:t>
          </w:r>
          <w:proofErr w:type="spellStart"/>
          <w:r>
            <w:rPr>
              <w:szCs w:val="20"/>
              <w:lang w:val="es-ES"/>
            </w:rPr>
            <w:t>Str</w:t>
          </w:r>
          <w:proofErr w:type="spellEnd"/>
          <w:r>
            <w:rPr>
              <w:szCs w:val="20"/>
              <w:lang w:val="es-ES"/>
            </w:rPr>
            <w:t>. 2 · D-53578 Windhagen · T: +49 26 45 / 131 0</w:t>
          </w:r>
        </w:p>
      </w:tc>
    </w:tr>
  </w:tbl>
  <w:p w14:paraId="732BEB33" w14:textId="77777777" w:rsidR="00533132" w:rsidRDefault="00BD5391">
    <w:pPr>
      <w:pStyle w:val="Fuzeile"/>
    </w:pPr>
    <w:r>
      <w:rPr>
        <w:noProof/>
        <w:lang w:val="es-ES"/>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303FF5" w14:textId="77777777" w:rsidR="00725687" w:rsidRDefault="00725687" w:rsidP="00E55534">
      <w:r>
        <w:separator/>
      </w:r>
    </w:p>
  </w:footnote>
  <w:footnote w:type="continuationSeparator" w:id="0">
    <w:p w14:paraId="01293DAB" w14:textId="77777777" w:rsidR="00725687" w:rsidRDefault="00725687"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DD1DBB" w14:textId="003C8FA4" w:rsidR="005101B4" w:rsidRDefault="00236846">
    <w:pPr>
      <w:pStyle w:val="Kopfzeile"/>
    </w:pPr>
    <w:r>
      <w:rPr>
        <w:noProof/>
        <w:lang w:val="es-ES"/>
      </w:rPr>
      <mc:AlternateContent>
        <mc:Choice Requires="wps">
          <w:drawing>
            <wp:anchor distT="0" distB="0" distL="0" distR="0" simplePos="0" relativeHeight="251662336" behindDoc="0" locked="0" layoutInCell="1" allowOverlap="1" wp14:anchorId="2E5F369C" wp14:editId="5E72F0E1">
              <wp:simplePos x="635" y="635"/>
              <wp:positionH relativeFrom="page">
                <wp:align>right</wp:align>
              </wp:positionH>
              <wp:positionV relativeFrom="page">
                <wp:align>top</wp:align>
              </wp:positionV>
              <wp:extent cx="443865" cy="443865"/>
              <wp:effectExtent l="0" t="0" r="0" b="16510"/>
              <wp:wrapNone/>
              <wp:docPr id="17" name="Textfeld 17"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2407F48" w14:textId="0F5FCBB8" w:rsidR="00236846" w:rsidRPr="00236846" w:rsidRDefault="00236846" w:rsidP="00236846">
                          <w:pPr>
                            <w:rPr>
                              <w:rFonts w:ascii="Calibri" w:eastAsia="Calibri" w:hAnsi="Calibri" w:cs="Calibri"/>
                              <w:noProof/>
                              <w:color w:val="FF0000"/>
                              <w:sz w:val="20"/>
                              <w:szCs w:val="20"/>
                            </w:rPr>
                          </w:pPr>
                          <w:r>
                            <w:rPr>
                              <w:rFonts w:ascii="Calibri" w:eastAsia="Calibri" w:hAnsi="Calibri" w:cs="Calibri"/>
                              <w:noProof/>
                              <w:color w:val="FF0000"/>
                              <w:sz w:val="20"/>
                              <w:szCs w:val="20"/>
                              <w:lang w:val="es-ES"/>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2E5F369C" id="_x0000_t202" coordsize="21600,21600" o:spt="202" path="m,l,21600r21600,l21600,xe">
              <v:stroke joinstyle="miter"/>
              <v:path gradientshapeok="t" o:connecttype="rect"/>
            </v:shapetype>
            <v:shape id="Textfeld 17" o:spid="_x0000_s1026" type="#_x0000_t202" alt="Public" style="position:absolute;margin-left:-16.25pt;margin-top:0;width:34.95pt;height:34.95pt;z-index:251662336;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" filled="f" stroked="f">
              <v:textbox style="mso-fit-shape-to-text:t" inset="0,15pt,20pt,0">
                <w:txbxContent>
                  <w:p w14:paraId="52407F48" w14:textId="0F5FCBB8" w:rsidR="00236846" w:rsidRPr="00236846" w:rsidRDefault="00236846" w:rsidP="00236846">
                    <w:pPr>
                      <w:rPr>
                        <w:rFonts w:ascii="Calibri" w:eastAsia="Calibri" w:hAnsi="Calibri" w:cs="Calibri"/>
                        <w:noProof/>
                        <w:color w:val="FF0000"/>
                        <w:sz w:val="20"/>
                        <w:szCs w:val="20"/>
                      </w:rPr>
                    </w:pPr>
                    <w:r>
                      <w:rPr>
                        <w:rFonts w:ascii="Calibri" w:eastAsia="Calibri" w:hAnsi="Calibri" w:cs="Calibri"/>
                        <w:noProof/>
                        <w:color w:val="FF0000"/>
                        <w:sz w:val="20"/>
                        <w:szCs w:val="20"/>
                        <w:lang w:val="es-ES"/>
                      </w:rPr>
                      <w:t>Public</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77B1A00E" w:rsidR="00533132" w:rsidRPr="00533132" w:rsidRDefault="00236846" w:rsidP="00533132">
    <w:pPr>
      <w:pStyle w:val="Kopfzeile"/>
    </w:pPr>
    <w:r>
      <w:rPr>
        <w:noProof/>
        <w:lang w:val="es-ES"/>
      </w:rPr>
      <mc:AlternateContent>
        <mc:Choice Requires="wps">
          <w:drawing>
            <wp:anchor distT="0" distB="0" distL="0" distR="0" simplePos="0" relativeHeight="251663360" behindDoc="0" locked="0" layoutInCell="1" allowOverlap="1" wp14:anchorId="74563949" wp14:editId="7956D087">
              <wp:simplePos x="752475" y="447675"/>
              <wp:positionH relativeFrom="page">
                <wp:align>right</wp:align>
              </wp:positionH>
              <wp:positionV relativeFrom="page">
                <wp:align>top</wp:align>
              </wp:positionV>
              <wp:extent cx="443865" cy="443865"/>
              <wp:effectExtent l="0" t="0" r="0" b="16510"/>
              <wp:wrapNone/>
              <wp:docPr id="18" name="Textfeld 18"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60C09ED" w14:textId="16E573CF" w:rsidR="00236846" w:rsidRPr="00236846" w:rsidRDefault="00236846" w:rsidP="00236846">
                          <w:pPr>
                            <w:rPr>
                              <w:rFonts w:ascii="Calibri" w:eastAsia="Calibri" w:hAnsi="Calibri" w:cs="Calibri"/>
                              <w:noProof/>
                              <w:color w:val="FF0000"/>
                              <w:sz w:val="20"/>
                              <w:szCs w:val="20"/>
                            </w:rPr>
                          </w:pPr>
                          <w:r>
                            <w:rPr>
                              <w:rFonts w:ascii="Calibri" w:eastAsia="Calibri" w:hAnsi="Calibri" w:cs="Calibri"/>
                              <w:noProof/>
                              <w:color w:val="FF0000"/>
                              <w:sz w:val="20"/>
                              <w:szCs w:val="20"/>
                              <w:lang w:val="es-ES"/>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74563949" id="_x0000_t202" coordsize="21600,21600" o:spt="202" path="m,l,21600r21600,l21600,xe">
              <v:stroke joinstyle="miter"/>
              <v:path gradientshapeok="t" o:connecttype="rect"/>
            </v:shapetype>
            <v:shape id="Textfeld 18" o:spid="_x0000_s1027" type="#_x0000_t202" alt="Public" style="position:absolute;margin-left:-16.25pt;margin-top:0;width:34.95pt;height:34.95pt;z-index:251663360;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" filled="f" stroked="f">
              <v:textbox style="mso-fit-shape-to-text:t" inset="0,15pt,20pt,0">
                <w:txbxContent>
                  <w:p w14:paraId="060C09ED" w14:textId="16E573CF" w:rsidR="00236846" w:rsidRPr="00236846" w:rsidRDefault="00236846" w:rsidP="00236846">
                    <w:pPr>
                      <w:rPr>
                        <w:rFonts w:ascii="Calibri" w:eastAsia="Calibri" w:hAnsi="Calibri" w:cs="Calibri"/>
                        <w:noProof/>
                        <w:color w:val="FF0000"/>
                        <w:sz w:val="20"/>
                        <w:szCs w:val="20"/>
                      </w:rPr>
                    </w:pPr>
                    <w:r>
                      <w:rPr>
                        <w:rFonts w:ascii="Calibri" w:eastAsia="Calibri" w:hAnsi="Calibri" w:cs="Calibri"/>
                        <w:noProof/>
                        <w:color w:val="FF0000"/>
                        <w:sz w:val="20"/>
                        <w:szCs w:val="20"/>
                        <w:lang w:val="es-ES"/>
                      </w:rPr>
                      <w:t>Public</w:t>
                    </w:r>
                  </w:p>
                </w:txbxContent>
              </v:textbox>
              <w10:wrap anchorx="page" anchory="page"/>
            </v:shape>
          </w:pict>
        </mc:Fallback>
      </mc:AlternateContent>
    </w:r>
    <w:r>
      <w:rPr>
        <w:noProof/>
        <w:lang w:val="es-ES"/>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Plantilla Comunicado de pren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134ADAF5" w:rsidR="00533132" w:rsidRDefault="00236846">
    <w:pPr>
      <w:pStyle w:val="Kopfzeile"/>
    </w:pPr>
    <w:r>
      <w:rPr>
        <w:noProof/>
        <w:lang w:val="es-ES"/>
      </w:rPr>
      <mc:AlternateContent>
        <mc:Choice Requires="wps">
          <w:drawing>
            <wp:anchor distT="0" distB="0" distL="0" distR="0" simplePos="0" relativeHeight="251661312" behindDoc="0" locked="0" layoutInCell="1" allowOverlap="1" wp14:anchorId="39BEA39A" wp14:editId="01033463">
              <wp:simplePos x="635" y="635"/>
              <wp:positionH relativeFrom="page">
                <wp:align>right</wp:align>
              </wp:positionH>
              <wp:positionV relativeFrom="page">
                <wp:align>top</wp:align>
              </wp:positionV>
              <wp:extent cx="443865" cy="443865"/>
              <wp:effectExtent l="0" t="0" r="0" b="16510"/>
              <wp:wrapNone/>
              <wp:docPr id="16" name="Textfeld 16"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AA3C03E" w14:textId="7713136A" w:rsidR="00236846" w:rsidRPr="00236846" w:rsidRDefault="00236846" w:rsidP="00236846">
                          <w:pPr>
                            <w:rPr>
                              <w:rFonts w:ascii="Calibri" w:eastAsia="Calibri" w:hAnsi="Calibri" w:cs="Calibri"/>
                              <w:noProof/>
                              <w:color w:val="FF0000"/>
                              <w:sz w:val="20"/>
                              <w:szCs w:val="20"/>
                            </w:rPr>
                          </w:pPr>
                          <w:r>
                            <w:rPr>
                              <w:rFonts w:ascii="Calibri" w:eastAsia="Calibri" w:hAnsi="Calibri" w:cs="Calibri"/>
                              <w:noProof/>
                              <w:color w:val="FF0000"/>
                              <w:sz w:val="20"/>
                              <w:szCs w:val="20"/>
                              <w:lang w:val="es-ES"/>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39BEA39A" id="_x0000_t202" coordsize="21600,21600" o:spt="202" path="m,l,21600r21600,l21600,xe">
              <v:stroke joinstyle="miter"/>
              <v:path gradientshapeok="t" o:connecttype="rect"/>
            </v:shapetype>
            <v:shape id="Textfeld 16" o:spid="_x0000_s1028" type="#_x0000_t202" alt="Public" style="position:absolute;margin-left:-16.25pt;margin-top:0;width:34.95pt;height:34.95pt;z-index:251661312;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" filled="f" stroked="f">
              <v:textbox style="mso-fit-shape-to-text:t" inset="0,15pt,20pt,0">
                <w:txbxContent>
                  <w:p w14:paraId="7AA3C03E" w14:textId="7713136A" w:rsidR="00236846" w:rsidRPr="00236846" w:rsidRDefault="00236846" w:rsidP="00236846">
                    <w:pPr>
                      <w:rPr>
                        <w:rFonts w:ascii="Calibri" w:eastAsia="Calibri" w:hAnsi="Calibri" w:cs="Calibri"/>
                        <w:noProof/>
                        <w:color w:val="FF0000"/>
                        <w:sz w:val="20"/>
                        <w:szCs w:val="20"/>
                      </w:rPr>
                    </w:pPr>
                    <w:r>
                      <w:rPr>
                        <w:rFonts w:ascii="Calibri" w:eastAsia="Calibri" w:hAnsi="Calibri" w:cs="Calibri"/>
                        <w:noProof/>
                        <w:color w:val="FF0000"/>
                        <w:sz w:val="20"/>
                        <w:szCs w:val="20"/>
                        <w:lang w:val="es-ES"/>
                      </w:rPr>
                      <w:t>Public</w:t>
                    </w:r>
                  </w:p>
                </w:txbxContent>
              </v:textbox>
              <w10:wrap anchorx="page" anchory="page"/>
            </v:shape>
          </w:pict>
        </mc:Fallback>
      </mc:AlternateContent>
    </w:r>
    <w:r>
      <w:rPr>
        <w:noProof/>
        <w:lang w:val="es-ES"/>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es-ES"/>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s-ES"/>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94" type="#_x0000_t75" style="width:1500pt;height:1500pt" o:bullet="t">
        <v:imagedata r:id="rId1" o:title="AZ_04a"/>
      </v:shape>
    </w:pict>
  </w:numPicBullet>
  <w:numPicBullet w:numPicBulletId="1">
    <w:pict>
      <v:shape id="_x0000_i1095"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16cid:durableId="1184634220">
    <w:abstractNumId w:val="8"/>
  </w:num>
  <w:num w:numId="2" w16cid:durableId="1473983918">
    <w:abstractNumId w:val="8"/>
  </w:num>
  <w:num w:numId="3" w16cid:durableId="227151528">
    <w:abstractNumId w:val="8"/>
  </w:num>
  <w:num w:numId="4" w16cid:durableId="1711029628">
    <w:abstractNumId w:val="8"/>
  </w:num>
  <w:num w:numId="5" w16cid:durableId="331567186">
    <w:abstractNumId w:val="8"/>
  </w:num>
  <w:num w:numId="6" w16cid:durableId="391316094">
    <w:abstractNumId w:val="2"/>
  </w:num>
  <w:num w:numId="7" w16cid:durableId="469788690">
    <w:abstractNumId w:val="2"/>
  </w:num>
  <w:num w:numId="8" w16cid:durableId="799760172">
    <w:abstractNumId w:val="2"/>
  </w:num>
  <w:num w:numId="9" w16cid:durableId="2010213662">
    <w:abstractNumId w:val="2"/>
  </w:num>
  <w:num w:numId="10" w16cid:durableId="1773089825">
    <w:abstractNumId w:val="2"/>
  </w:num>
  <w:num w:numId="11" w16cid:durableId="1176192724">
    <w:abstractNumId w:val="5"/>
  </w:num>
  <w:num w:numId="12" w16cid:durableId="717972111">
    <w:abstractNumId w:val="5"/>
  </w:num>
  <w:num w:numId="13" w16cid:durableId="1351878979">
    <w:abstractNumId w:val="4"/>
  </w:num>
  <w:num w:numId="14" w16cid:durableId="327446136">
    <w:abstractNumId w:val="4"/>
  </w:num>
  <w:num w:numId="15" w16cid:durableId="421488682">
    <w:abstractNumId w:val="4"/>
  </w:num>
  <w:num w:numId="16" w16cid:durableId="1427918781">
    <w:abstractNumId w:val="4"/>
  </w:num>
  <w:num w:numId="17" w16cid:durableId="298806237">
    <w:abstractNumId w:val="4"/>
  </w:num>
  <w:num w:numId="18" w16cid:durableId="417142280">
    <w:abstractNumId w:val="1"/>
  </w:num>
  <w:num w:numId="19" w16cid:durableId="1944921283">
    <w:abstractNumId w:val="3"/>
  </w:num>
  <w:num w:numId="20" w16cid:durableId="996222294">
    <w:abstractNumId w:val="7"/>
  </w:num>
  <w:num w:numId="21" w16cid:durableId="60053051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766611968">
    <w:abstractNumId w:val="0"/>
  </w:num>
  <w:num w:numId="23" w16cid:durableId="181004854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21632102">
    <w:abstractNumId w:val="6"/>
  </w:num>
  <w:num w:numId="25" w16cid:durableId="194656946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5C02"/>
    <w:rsid w:val="0000745C"/>
    <w:rsid w:val="000148B3"/>
    <w:rsid w:val="00042106"/>
    <w:rsid w:val="0005285B"/>
    <w:rsid w:val="00053490"/>
    <w:rsid w:val="00054190"/>
    <w:rsid w:val="00055529"/>
    <w:rsid w:val="00062C3A"/>
    <w:rsid w:val="00066D09"/>
    <w:rsid w:val="00080259"/>
    <w:rsid w:val="0009665C"/>
    <w:rsid w:val="000A0479"/>
    <w:rsid w:val="000A0864"/>
    <w:rsid w:val="000A36D9"/>
    <w:rsid w:val="000A4C7D"/>
    <w:rsid w:val="000B582B"/>
    <w:rsid w:val="000D15C3"/>
    <w:rsid w:val="000E24F8"/>
    <w:rsid w:val="000E5738"/>
    <w:rsid w:val="00103205"/>
    <w:rsid w:val="00103D4E"/>
    <w:rsid w:val="0011795C"/>
    <w:rsid w:val="0012026F"/>
    <w:rsid w:val="00130601"/>
    <w:rsid w:val="00132055"/>
    <w:rsid w:val="00146C3D"/>
    <w:rsid w:val="00153B47"/>
    <w:rsid w:val="001613A6"/>
    <w:rsid w:val="001614F0"/>
    <w:rsid w:val="001616F4"/>
    <w:rsid w:val="001738EC"/>
    <w:rsid w:val="0018021A"/>
    <w:rsid w:val="00194FB1"/>
    <w:rsid w:val="001B16BB"/>
    <w:rsid w:val="001B34EE"/>
    <w:rsid w:val="001C1A3E"/>
    <w:rsid w:val="001F40CA"/>
    <w:rsid w:val="00200355"/>
    <w:rsid w:val="0021351D"/>
    <w:rsid w:val="00224EC5"/>
    <w:rsid w:val="00235722"/>
    <w:rsid w:val="00236846"/>
    <w:rsid w:val="00237E4B"/>
    <w:rsid w:val="00253A2E"/>
    <w:rsid w:val="002603EC"/>
    <w:rsid w:val="002611FE"/>
    <w:rsid w:val="00282AFC"/>
    <w:rsid w:val="00286C15"/>
    <w:rsid w:val="0029634D"/>
    <w:rsid w:val="002A247E"/>
    <w:rsid w:val="002C7542"/>
    <w:rsid w:val="002D065C"/>
    <w:rsid w:val="002D0780"/>
    <w:rsid w:val="002D2EE5"/>
    <w:rsid w:val="002D63E6"/>
    <w:rsid w:val="002E765F"/>
    <w:rsid w:val="002E7E4E"/>
    <w:rsid w:val="002F108B"/>
    <w:rsid w:val="002F5818"/>
    <w:rsid w:val="002F70FD"/>
    <w:rsid w:val="0030316D"/>
    <w:rsid w:val="0032774C"/>
    <w:rsid w:val="00332D28"/>
    <w:rsid w:val="0034191A"/>
    <w:rsid w:val="00343CC7"/>
    <w:rsid w:val="00352440"/>
    <w:rsid w:val="0036561D"/>
    <w:rsid w:val="003665BE"/>
    <w:rsid w:val="00384A08"/>
    <w:rsid w:val="00387E6F"/>
    <w:rsid w:val="003967E5"/>
    <w:rsid w:val="003A753A"/>
    <w:rsid w:val="003B3803"/>
    <w:rsid w:val="003B4D1C"/>
    <w:rsid w:val="003C2A71"/>
    <w:rsid w:val="003C4C9B"/>
    <w:rsid w:val="003E1CB6"/>
    <w:rsid w:val="003E3CF6"/>
    <w:rsid w:val="003E759F"/>
    <w:rsid w:val="003E7853"/>
    <w:rsid w:val="003F57AB"/>
    <w:rsid w:val="00400FD9"/>
    <w:rsid w:val="004016F7"/>
    <w:rsid w:val="00403373"/>
    <w:rsid w:val="00406C81"/>
    <w:rsid w:val="00412545"/>
    <w:rsid w:val="0041475A"/>
    <w:rsid w:val="00417237"/>
    <w:rsid w:val="00430BB0"/>
    <w:rsid w:val="00434B4E"/>
    <w:rsid w:val="00456C95"/>
    <w:rsid w:val="0046460D"/>
    <w:rsid w:val="00467F3C"/>
    <w:rsid w:val="0047498D"/>
    <w:rsid w:val="00476100"/>
    <w:rsid w:val="00487BFC"/>
    <w:rsid w:val="004A463B"/>
    <w:rsid w:val="004C1967"/>
    <w:rsid w:val="004C540B"/>
    <w:rsid w:val="004C6AE5"/>
    <w:rsid w:val="004D23D0"/>
    <w:rsid w:val="004D2BE0"/>
    <w:rsid w:val="004E1C49"/>
    <w:rsid w:val="004E6EF5"/>
    <w:rsid w:val="00506409"/>
    <w:rsid w:val="005101B4"/>
    <w:rsid w:val="00530E32"/>
    <w:rsid w:val="00533132"/>
    <w:rsid w:val="00537210"/>
    <w:rsid w:val="005649F4"/>
    <w:rsid w:val="005710C8"/>
    <w:rsid w:val="005711A3"/>
    <w:rsid w:val="00571A5C"/>
    <w:rsid w:val="00573B2B"/>
    <w:rsid w:val="005776E9"/>
    <w:rsid w:val="00587AD9"/>
    <w:rsid w:val="005909A8"/>
    <w:rsid w:val="005A4F04"/>
    <w:rsid w:val="005B571F"/>
    <w:rsid w:val="005B5793"/>
    <w:rsid w:val="005B6DAE"/>
    <w:rsid w:val="005C6B30"/>
    <w:rsid w:val="005C71EC"/>
    <w:rsid w:val="005E764C"/>
    <w:rsid w:val="005E7F7D"/>
    <w:rsid w:val="006063D4"/>
    <w:rsid w:val="00623B37"/>
    <w:rsid w:val="006330A2"/>
    <w:rsid w:val="00642EB6"/>
    <w:rsid w:val="006433E2"/>
    <w:rsid w:val="00651E5D"/>
    <w:rsid w:val="00677F11"/>
    <w:rsid w:val="00682B1A"/>
    <w:rsid w:val="00690D7C"/>
    <w:rsid w:val="00690DFE"/>
    <w:rsid w:val="006B3EEC"/>
    <w:rsid w:val="006C0C87"/>
    <w:rsid w:val="006D6CC6"/>
    <w:rsid w:val="006D7EAC"/>
    <w:rsid w:val="006E0104"/>
    <w:rsid w:val="006F7602"/>
    <w:rsid w:val="00722A17"/>
    <w:rsid w:val="00723F4F"/>
    <w:rsid w:val="00725687"/>
    <w:rsid w:val="00725E05"/>
    <w:rsid w:val="00753D8D"/>
    <w:rsid w:val="00754B80"/>
    <w:rsid w:val="00755AE0"/>
    <w:rsid w:val="0075635E"/>
    <w:rsid w:val="0075761B"/>
    <w:rsid w:val="00757B83"/>
    <w:rsid w:val="00765D74"/>
    <w:rsid w:val="00774358"/>
    <w:rsid w:val="007758DA"/>
    <w:rsid w:val="00791A69"/>
    <w:rsid w:val="0079462A"/>
    <w:rsid w:val="00794830"/>
    <w:rsid w:val="00797CAA"/>
    <w:rsid w:val="007A2B6F"/>
    <w:rsid w:val="007A6BD2"/>
    <w:rsid w:val="007C2658"/>
    <w:rsid w:val="007D3D7F"/>
    <w:rsid w:val="007D59A2"/>
    <w:rsid w:val="007E20D0"/>
    <w:rsid w:val="007E3DAB"/>
    <w:rsid w:val="007E61A2"/>
    <w:rsid w:val="008053B3"/>
    <w:rsid w:val="00820315"/>
    <w:rsid w:val="00823073"/>
    <w:rsid w:val="0082316D"/>
    <w:rsid w:val="00825A66"/>
    <w:rsid w:val="00832921"/>
    <w:rsid w:val="00834472"/>
    <w:rsid w:val="00836A5D"/>
    <w:rsid w:val="008427F2"/>
    <w:rsid w:val="00843B45"/>
    <w:rsid w:val="0084571C"/>
    <w:rsid w:val="00863129"/>
    <w:rsid w:val="00866830"/>
    <w:rsid w:val="00870ACE"/>
    <w:rsid w:val="00873125"/>
    <w:rsid w:val="008755E5"/>
    <w:rsid w:val="00881E44"/>
    <w:rsid w:val="00892F6F"/>
    <w:rsid w:val="00896F7E"/>
    <w:rsid w:val="008C2A29"/>
    <w:rsid w:val="008C2DB2"/>
    <w:rsid w:val="008C7D1B"/>
    <w:rsid w:val="008D2B87"/>
    <w:rsid w:val="008D770E"/>
    <w:rsid w:val="0090337E"/>
    <w:rsid w:val="009049D8"/>
    <w:rsid w:val="00910609"/>
    <w:rsid w:val="00915841"/>
    <w:rsid w:val="009328FA"/>
    <w:rsid w:val="00936916"/>
    <w:rsid w:val="00936A78"/>
    <w:rsid w:val="009375E1"/>
    <w:rsid w:val="009405D6"/>
    <w:rsid w:val="00952853"/>
    <w:rsid w:val="00954D68"/>
    <w:rsid w:val="009646E4"/>
    <w:rsid w:val="009712AB"/>
    <w:rsid w:val="00977EC3"/>
    <w:rsid w:val="0098631D"/>
    <w:rsid w:val="009A026A"/>
    <w:rsid w:val="009B17A9"/>
    <w:rsid w:val="009B211F"/>
    <w:rsid w:val="009B7C05"/>
    <w:rsid w:val="009C1D0D"/>
    <w:rsid w:val="009C2378"/>
    <w:rsid w:val="009C4E9C"/>
    <w:rsid w:val="009C5A77"/>
    <w:rsid w:val="009C5D99"/>
    <w:rsid w:val="009D016F"/>
    <w:rsid w:val="009E145F"/>
    <w:rsid w:val="009E251D"/>
    <w:rsid w:val="009E4817"/>
    <w:rsid w:val="009F10A8"/>
    <w:rsid w:val="009F715C"/>
    <w:rsid w:val="00A0216C"/>
    <w:rsid w:val="00A02F49"/>
    <w:rsid w:val="00A15212"/>
    <w:rsid w:val="00A171F4"/>
    <w:rsid w:val="00A1772D"/>
    <w:rsid w:val="00A177B2"/>
    <w:rsid w:val="00A24EFC"/>
    <w:rsid w:val="00A27829"/>
    <w:rsid w:val="00A45E50"/>
    <w:rsid w:val="00A46F1E"/>
    <w:rsid w:val="00A51B39"/>
    <w:rsid w:val="00A66B3F"/>
    <w:rsid w:val="00A82395"/>
    <w:rsid w:val="00A9295C"/>
    <w:rsid w:val="00A96667"/>
    <w:rsid w:val="00A977CE"/>
    <w:rsid w:val="00AA0DF7"/>
    <w:rsid w:val="00AB52F9"/>
    <w:rsid w:val="00AB6B9C"/>
    <w:rsid w:val="00AD131F"/>
    <w:rsid w:val="00AD13D2"/>
    <w:rsid w:val="00AD32D5"/>
    <w:rsid w:val="00AD70E4"/>
    <w:rsid w:val="00AF3019"/>
    <w:rsid w:val="00AF3B3A"/>
    <w:rsid w:val="00AF4E8E"/>
    <w:rsid w:val="00AF6569"/>
    <w:rsid w:val="00B06265"/>
    <w:rsid w:val="00B37C38"/>
    <w:rsid w:val="00B5232A"/>
    <w:rsid w:val="00B60ED1"/>
    <w:rsid w:val="00B62CF5"/>
    <w:rsid w:val="00B74A72"/>
    <w:rsid w:val="00B85705"/>
    <w:rsid w:val="00B874DC"/>
    <w:rsid w:val="00B90F78"/>
    <w:rsid w:val="00B96B11"/>
    <w:rsid w:val="00BB6A28"/>
    <w:rsid w:val="00BD1058"/>
    <w:rsid w:val="00BD25D1"/>
    <w:rsid w:val="00BD35C1"/>
    <w:rsid w:val="00BD5391"/>
    <w:rsid w:val="00BD764C"/>
    <w:rsid w:val="00BF56B2"/>
    <w:rsid w:val="00C055AB"/>
    <w:rsid w:val="00C06F64"/>
    <w:rsid w:val="00C11F95"/>
    <w:rsid w:val="00C136DF"/>
    <w:rsid w:val="00C17501"/>
    <w:rsid w:val="00C40627"/>
    <w:rsid w:val="00C43EAF"/>
    <w:rsid w:val="00C457C3"/>
    <w:rsid w:val="00C644CA"/>
    <w:rsid w:val="00C658FC"/>
    <w:rsid w:val="00C73005"/>
    <w:rsid w:val="00C84D75"/>
    <w:rsid w:val="00C85E18"/>
    <w:rsid w:val="00C919B2"/>
    <w:rsid w:val="00C96E9F"/>
    <w:rsid w:val="00CA18CF"/>
    <w:rsid w:val="00CA4A09"/>
    <w:rsid w:val="00CB09CB"/>
    <w:rsid w:val="00CB419B"/>
    <w:rsid w:val="00CB5C85"/>
    <w:rsid w:val="00CB71DD"/>
    <w:rsid w:val="00CC5A63"/>
    <w:rsid w:val="00CC787C"/>
    <w:rsid w:val="00CF36C9"/>
    <w:rsid w:val="00D00EC4"/>
    <w:rsid w:val="00D166AC"/>
    <w:rsid w:val="00D27D45"/>
    <w:rsid w:val="00D33A55"/>
    <w:rsid w:val="00D36BA2"/>
    <w:rsid w:val="00D37CF4"/>
    <w:rsid w:val="00D4487C"/>
    <w:rsid w:val="00D63D33"/>
    <w:rsid w:val="00D666DD"/>
    <w:rsid w:val="00D73352"/>
    <w:rsid w:val="00D87FC4"/>
    <w:rsid w:val="00D935C3"/>
    <w:rsid w:val="00DA0266"/>
    <w:rsid w:val="00DA477E"/>
    <w:rsid w:val="00DB4BB0"/>
    <w:rsid w:val="00DE461D"/>
    <w:rsid w:val="00DF71C7"/>
    <w:rsid w:val="00E04039"/>
    <w:rsid w:val="00E14608"/>
    <w:rsid w:val="00E15EBE"/>
    <w:rsid w:val="00E21E67"/>
    <w:rsid w:val="00E30EBF"/>
    <w:rsid w:val="00E316C0"/>
    <w:rsid w:val="00E31E03"/>
    <w:rsid w:val="00E451CD"/>
    <w:rsid w:val="00E51170"/>
    <w:rsid w:val="00E52D70"/>
    <w:rsid w:val="00E55534"/>
    <w:rsid w:val="00E7116D"/>
    <w:rsid w:val="00E72429"/>
    <w:rsid w:val="00E743EC"/>
    <w:rsid w:val="00E912A2"/>
    <w:rsid w:val="00E914D1"/>
    <w:rsid w:val="00E960D8"/>
    <w:rsid w:val="00EB5FCA"/>
    <w:rsid w:val="00EF436C"/>
    <w:rsid w:val="00EF4D05"/>
    <w:rsid w:val="00F048D4"/>
    <w:rsid w:val="00F20920"/>
    <w:rsid w:val="00F23212"/>
    <w:rsid w:val="00F33B16"/>
    <w:rsid w:val="00F353EA"/>
    <w:rsid w:val="00F36C27"/>
    <w:rsid w:val="00F56318"/>
    <w:rsid w:val="00F67C95"/>
    <w:rsid w:val="00F74540"/>
    <w:rsid w:val="00F75B79"/>
    <w:rsid w:val="00F7640B"/>
    <w:rsid w:val="00F82525"/>
    <w:rsid w:val="00F911CB"/>
    <w:rsid w:val="00F91AC4"/>
    <w:rsid w:val="00F97FEA"/>
    <w:rsid w:val="00FA1EF1"/>
    <w:rsid w:val="00FB60E1"/>
    <w:rsid w:val="00FD3768"/>
    <w:rsid w:val="00FD51E9"/>
    <w:rsid w:val="00FF487E"/>
    <w:rsid w:val="00FF52AE"/>
    <w:rsid w:val="00FF587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berarbeitung">
    <w:name w:val="Revision"/>
    <w:hidden/>
    <w:uiPriority w:val="71"/>
    <w:semiHidden/>
    <w:rsid w:val="00A45E50"/>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7.jpe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1.emf"/></Relationships>
</file>

<file path=word/_rels/header3.xml.rels><?xml version="1.0" encoding="UTF-8" standalone="yes"?>
<Relationships xmlns="http://schemas.openxmlformats.org/package/2006/relationships"><Relationship Id="rId2" Type="http://schemas.openxmlformats.org/officeDocument/2006/relationships/image" Target="media/image13.wmf"/><Relationship Id="rId1" Type="http://schemas.openxmlformats.org/officeDocument/2006/relationships/image" Target="media/image12.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5</Pages>
  <Words>1505</Words>
  <Characters>9487</Characters>
  <Application>Microsoft Office Word</Application>
  <DocSecurity>0</DocSecurity>
  <Lines>79</Lines>
  <Paragraphs>21</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10971</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Linnemann Mario</cp:lastModifiedBy>
  <cp:revision>7</cp:revision>
  <cp:lastPrinted>2021-10-28T15:19:00Z</cp:lastPrinted>
  <dcterms:created xsi:type="dcterms:W3CDTF">2024-04-23T09:17:00Z</dcterms:created>
  <dcterms:modified xsi:type="dcterms:W3CDTF">2024-04-23T10:46:00Z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10,11,12</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2024-04-16T11:02:28Z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ac676362-17ff-4bcb-b7f0-69e2ff9e5e3f</vt:lpwstr>
  </property>
  <property fmtid="{D5CDD505-2E9C-101B-9397-08002B2CF9AE}" pid="11" name="MSIP_Label_df1a195f-122b-42dc-a2d3-71a1903dcdac_ContentBits">
    <vt:lpwstr>1</vt:lpwstr>
  </property>
</Properties>
</file>